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4016494"/>
        <w:docPartObj>
          <w:docPartGallery w:val="Cover Pages"/>
          <w:docPartUnique/>
        </w:docPartObj>
      </w:sdtPr>
      <w:sdtEndPr>
        <w:rPr>
          <w:caps w:val="0"/>
        </w:rPr>
      </w:sdtEndPr>
      <w:sdtContent>
        <w:tbl>
          <w:tblPr>
            <w:tblW w:w="5000" w:type="pct"/>
            <w:jc w:val="center"/>
            <w:tblLook w:val="04A0"/>
          </w:tblPr>
          <w:tblGrid>
            <w:gridCol w:w="9288"/>
          </w:tblGrid>
          <w:tr w:rsidR="002422B5">
            <w:trPr>
              <w:trHeight w:val="2880"/>
              <w:jc w:val="center"/>
            </w:trPr>
            <w:sdt>
              <w:sdtPr>
                <w:rPr>
                  <w:rFonts w:asciiTheme="majorHAnsi" w:eastAsiaTheme="majorEastAsia" w:hAnsiTheme="majorHAnsi" w:cstheme="majorBidi"/>
                  <w:caps/>
                </w:rPr>
                <w:alias w:val="Firma"/>
                <w:id w:val="15524243"/>
                <w:dataBinding w:prefixMappings="xmlns:ns0='http://schemas.openxmlformats.org/officeDocument/2006/extended-properties'" w:xpath="/ns0:Properties[1]/ns0:Company[1]" w:storeItemID="{6668398D-A668-4E3E-A5EB-62B293D839F1}"/>
                <w:text/>
              </w:sdtPr>
              <w:sdtContent>
                <w:tc>
                  <w:tcPr>
                    <w:tcW w:w="5000" w:type="pct"/>
                  </w:tcPr>
                  <w:p w:rsidR="002422B5" w:rsidRDefault="002422B5" w:rsidP="002422B5">
                    <w:pPr>
                      <w:pStyle w:val="Bezodstpw"/>
                      <w:jc w:val="center"/>
                      <w:rPr>
                        <w:rFonts w:asciiTheme="majorHAnsi" w:eastAsiaTheme="majorEastAsia" w:hAnsiTheme="majorHAnsi" w:cstheme="majorBidi"/>
                        <w:caps/>
                      </w:rPr>
                    </w:pPr>
                    <w:r>
                      <w:rPr>
                        <w:rFonts w:asciiTheme="majorHAnsi" w:eastAsiaTheme="majorEastAsia" w:hAnsiTheme="majorHAnsi" w:cstheme="majorBidi"/>
                        <w:caps/>
                      </w:rPr>
                      <w:t>miasto suwałki</w:t>
                    </w:r>
                  </w:p>
                </w:tc>
              </w:sdtContent>
            </w:sdt>
          </w:tr>
          <w:tr w:rsidR="002422B5">
            <w:trPr>
              <w:trHeight w:val="1440"/>
              <w:jc w:val="center"/>
            </w:trPr>
            <w:sdt>
              <w:sdtPr>
                <w:rPr>
                  <w:rFonts w:asciiTheme="majorHAnsi" w:eastAsiaTheme="majorEastAsia" w:hAnsiTheme="majorHAnsi" w:cstheme="majorBidi"/>
                  <w:sz w:val="80"/>
                  <w:szCs w:val="80"/>
                </w:rPr>
                <w:alias w:val="Tytuł"/>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422B5" w:rsidRDefault="002422B5" w:rsidP="002422B5">
                    <w:pPr>
                      <w:pStyle w:val="Bezodstpw"/>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Program Rozwoju Przedsiębiorczości w Suwałkach</w:t>
                    </w:r>
                    <w:r w:rsidR="00B042F8">
                      <w:rPr>
                        <w:rFonts w:asciiTheme="majorHAnsi" w:eastAsiaTheme="majorEastAsia" w:hAnsiTheme="majorHAnsi" w:cstheme="majorBidi"/>
                        <w:sz w:val="80"/>
                        <w:szCs w:val="80"/>
                      </w:rPr>
                      <w:t xml:space="preserve">                            na lata</w:t>
                    </w:r>
                    <w:r w:rsidR="000205C9">
                      <w:rPr>
                        <w:rFonts w:asciiTheme="majorHAnsi" w:eastAsiaTheme="majorEastAsia" w:hAnsiTheme="majorHAnsi" w:cstheme="majorBidi"/>
                        <w:sz w:val="80"/>
                        <w:szCs w:val="80"/>
                      </w:rPr>
                      <w:t xml:space="preserve"> 2014-2020</w:t>
                    </w:r>
                  </w:p>
                </w:tc>
              </w:sdtContent>
            </w:sdt>
          </w:tr>
          <w:tr w:rsidR="002422B5">
            <w:trPr>
              <w:trHeight w:val="720"/>
              <w:jc w:val="center"/>
            </w:trPr>
            <w:sdt>
              <w:sdtPr>
                <w:rPr>
                  <w:b/>
                  <w:bCs/>
                </w:rPr>
                <w:alias w:val="Aut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tcBorders>
                      <w:top w:val="single" w:sz="4" w:space="0" w:color="4F81BD" w:themeColor="accent1"/>
                    </w:tcBorders>
                    <w:vAlign w:val="center"/>
                  </w:tcPr>
                  <w:p w:rsidR="002422B5" w:rsidRDefault="00571468" w:rsidP="00571468">
                    <w:pPr>
                      <w:pStyle w:val="Bezodstpw"/>
                      <w:jc w:val="center"/>
                      <w:rPr>
                        <w:rFonts w:asciiTheme="majorHAnsi" w:eastAsiaTheme="majorEastAsia" w:hAnsiTheme="majorHAnsi" w:cstheme="majorBidi"/>
                        <w:sz w:val="44"/>
                        <w:szCs w:val="44"/>
                      </w:rPr>
                    </w:pPr>
                    <w:r>
                      <w:rPr>
                        <w:b/>
                        <w:bCs/>
                      </w:rPr>
                      <w:t>Urząd Miejski w Suwałkach                                                                                                                              Wydział Rozwoju i Funduszy Zewnętrznych</w:t>
                    </w:r>
                  </w:p>
                </w:tc>
              </w:sdtContent>
            </w:sdt>
          </w:tr>
          <w:tr w:rsidR="002422B5">
            <w:trPr>
              <w:trHeight w:val="360"/>
              <w:jc w:val="center"/>
            </w:trPr>
            <w:sdt>
              <w:sdtPr>
                <w:rPr>
                  <w:b/>
                  <w:bCs/>
                </w:rPr>
                <w:alias w:val="Data"/>
                <w:id w:val="516659546"/>
                <w:dataBinding w:prefixMappings="xmlns:ns0='http://schemas.microsoft.com/office/2006/coverPageProps'" w:xpath="/ns0:CoverPageProperties[1]/ns0:PublishDate[1]" w:storeItemID="{55AF091B-3C7A-41E3-B477-F2FDAA23CFDA}"/>
                <w:date w:fullDate="2014-06-17T00:00:00Z">
                  <w:dateFormat w:val="yyyy-MM-dd"/>
                  <w:lid w:val="pl-PL"/>
                  <w:storeMappedDataAs w:val="dateTime"/>
                  <w:calendar w:val="gregorian"/>
                </w:date>
              </w:sdtPr>
              <w:sdtContent>
                <w:tc>
                  <w:tcPr>
                    <w:tcW w:w="5000" w:type="pct"/>
                    <w:vAlign w:val="center"/>
                  </w:tcPr>
                  <w:p w:rsidR="002422B5" w:rsidRDefault="00187394">
                    <w:pPr>
                      <w:pStyle w:val="Bezodstpw"/>
                      <w:jc w:val="center"/>
                    </w:pPr>
                    <w:r>
                      <w:rPr>
                        <w:b/>
                        <w:bCs/>
                      </w:rPr>
                      <w:t>2014-06-17</w:t>
                    </w:r>
                  </w:p>
                </w:tc>
              </w:sdtContent>
            </w:sdt>
          </w:tr>
          <w:tr w:rsidR="002422B5">
            <w:trPr>
              <w:trHeight w:val="360"/>
              <w:jc w:val="center"/>
            </w:trPr>
            <w:tc>
              <w:tcPr>
                <w:tcW w:w="5000" w:type="pct"/>
                <w:vAlign w:val="center"/>
              </w:tcPr>
              <w:p w:rsidR="002422B5" w:rsidRDefault="002422B5">
                <w:pPr>
                  <w:pStyle w:val="Bezodstpw"/>
                  <w:jc w:val="center"/>
                  <w:rPr>
                    <w:b/>
                    <w:bCs/>
                  </w:rPr>
                </w:pPr>
              </w:p>
            </w:tc>
          </w:tr>
          <w:tr w:rsidR="002422B5">
            <w:trPr>
              <w:trHeight w:val="360"/>
              <w:jc w:val="center"/>
            </w:trPr>
            <w:tc>
              <w:tcPr>
                <w:tcW w:w="5000" w:type="pct"/>
                <w:vAlign w:val="center"/>
              </w:tcPr>
              <w:p w:rsidR="002422B5" w:rsidRDefault="002422B5">
                <w:pPr>
                  <w:pStyle w:val="Bezodstpw"/>
                  <w:jc w:val="center"/>
                  <w:rPr>
                    <w:b/>
                    <w:bCs/>
                  </w:rPr>
                </w:pPr>
              </w:p>
            </w:tc>
          </w:tr>
        </w:tbl>
        <w:p w:rsidR="002422B5" w:rsidRDefault="002422B5"/>
        <w:p w:rsidR="002422B5" w:rsidRDefault="002422B5"/>
        <w:p w:rsidR="002422B5" w:rsidRDefault="002422B5"/>
        <w:p w:rsidR="002422B5" w:rsidRDefault="002422B5">
          <w:pPr>
            <w:rPr>
              <w:rFonts w:asciiTheme="majorHAnsi" w:eastAsiaTheme="majorEastAsia" w:hAnsiTheme="majorHAnsi" w:cstheme="majorBidi"/>
            </w:rPr>
          </w:pPr>
          <w:r>
            <w:rPr>
              <w:rFonts w:asciiTheme="majorHAnsi" w:eastAsiaTheme="majorEastAsia" w:hAnsiTheme="majorHAnsi" w:cstheme="majorBidi"/>
            </w:rPr>
            <w:br w:type="page"/>
          </w:r>
        </w:p>
      </w:sdtContent>
    </w:sdt>
    <w:sdt>
      <w:sdtPr>
        <w:rPr>
          <w:rFonts w:asciiTheme="minorHAnsi" w:eastAsiaTheme="minorHAnsi" w:hAnsiTheme="minorHAnsi" w:cstheme="minorBidi"/>
          <w:b w:val="0"/>
          <w:bCs w:val="0"/>
          <w:color w:val="auto"/>
          <w:sz w:val="22"/>
          <w:szCs w:val="22"/>
        </w:rPr>
        <w:id w:val="14016524"/>
        <w:docPartObj>
          <w:docPartGallery w:val="Table of Contents"/>
          <w:docPartUnique/>
        </w:docPartObj>
      </w:sdtPr>
      <w:sdtContent>
        <w:p w:rsidR="00647672" w:rsidRDefault="002422B5" w:rsidP="00647672">
          <w:pPr>
            <w:pStyle w:val="Nagwekspisutreci"/>
          </w:pPr>
          <w:r>
            <w:t>Zawartość</w:t>
          </w:r>
        </w:p>
        <w:p w:rsidR="00E502B3" w:rsidRDefault="00654193">
          <w:pPr>
            <w:pStyle w:val="Spistreci1"/>
            <w:tabs>
              <w:tab w:val="right" w:leader="dot" w:pos="9062"/>
            </w:tabs>
            <w:rPr>
              <w:rFonts w:eastAsiaTheme="minorEastAsia"/>
              <w:noProof/>
              <w:lang w:eastAsia="pl-PL"/>
            </w:rPr>
          </w:pPr>
          <w:r>
            <w:fldChar w:fldCharType="begin"/>
          </w:r>
          <w:r w:rsidR="002422B5">
            <w:instrText xml:space="preserve"> TOC \o "1-3" \h \z \u </w:instrText>
          </w:r>
          <w:r>
            <w:fldChar w:fldCharType="separate"/>
          </w:r>
          <w:hyperlink w:anchor="_Toc390759466" w:history="1">
            <w:r w:rsidR="00E502B3" w:rsidRPr="00797352">
              <w:rPr>
                <w:rStyle w:val="Hipercze"/>
                <w:noProof/>
              </w:rPr>
              <w:t>Wykaz skrótów:</w:t>
            </w:r>
            <w:r w:rsidR="00E502B3">
              <w:rPr>
                <w:noProof/>
                <w:webHidden/>
              </w:rPr>
              <w:tab/>
            </w:r>
            <w:r w:rsidR="00E502B3">
              <w:rPr>
                <w:noProof/>
                <w:webHidden/>
              </w:rPr>
              <w:fldChar w:fldCharType="begin"/>
            </w:r>
            <w:r w:rsidR="00E502B3">
              <w:rPr>
                <w:noProof/>
                <w:webHidden/>
              </w:rPr>
              <w:instrText xml:space="preserve"> PAGEREF _Toc390759466 \h </w:instrText>
            </w:r>
            <w:r w:rsidR="00E502B3">
              <w:rPr>
                <w:noProof/>
                <w:webHidden/>
              </w:rPr>
            </w:r>
            <w:r w:rsidR="00E502B3">
              <w:rPr>
                <w:noProof/>
                <w:webHidden/>
              </w:rPr>
              <w:fldChar w:fldCharType="separate"/>
            </w:r>
            <w:r w:rsidR="00E502B3">
              <w:rPr>
                <w:noProof/>
                <w:webHidden/>
              </w:rPr>
              <w:t>4</w:t>
            </w:r>
            <w:r w:rsidR="00E502B3">
              <w:rPr>
                <w:noProof/>
                <w:webHidden/>
              </w:rPr>
              <w:fldChar w:fldCharType="end"/>
            </w:r>
          </w:hyperlink>
        </w:p>
        <w:p w:rsidR="00E502B3" w:rsidRDefault="00E502B3">
          <w:pPr>
            <w:pStyle w:val="Spistreci1"/>
            <w:tabs>
              <w:tab w:val="left" w:pos="440"/>
              <w:tab w:val="right" w:leader="dot" w:pos="9062"/>
            </w:tabs>
            <w:rPr>
              <w:rFonts w:eastAsiaTheme="minorEastAsia"/>
              <w:noProof/>
              <w:lang w:eastAsia="pl-PL"/>
            </w:rPr>
          </w:pPr>
          <w:hyperlink w:anchor="_Toc390759467" w:history="1">
            <w:r w:rsidRPr="00797352">
              <w:rPr>
                <w:rStyle w:val="Hipercze"/>
                <w:noProof/>
              </w:rPr>
              <w:t>1.</w:t>
            </w:r>
            <w:r>
              <w:rPr>
                <w:rFonts w:eastAsiaTheme="minorEastAsia"/>
                <w:noProof/>
                <w:lang w:eastAsia="pl-PL"/>
              </w:rPr>
              <w:tab/>
            </w:r>
            <w:r w:rsidRPr="00797352">
              <w:rPr>
                <w:rStyle w:val="Hipercze"/>
                <w:noProof/>
              </w:rPr>
              <w:t>Wstęp</w:t>
            </w:r>
            <w:r>
              <w:rPr>
                <w:noProof/>
                <w:webHidden/>
              </w:rPr>
              <w:tab/>
            </w:r>
            <w:r>
              <w:rPr>
                <w:noProof/>
                <w:webHidden/>
              </w:rPr>
              <w:fldChar w:fldCharType="begin"/>
            </w:r>
            <w:r>
              <w:rPr>
                <w:noProof/>
                <w:webHidden/>
              </w:rPr>
              <w:instrText xml:space="preserve"> PAGEREF _Toc390759467 \h </w:instrText>
            </w:r>
            <w:r>
              <w:rPr>
                <w:noProof/>
                <w:webHidden/>
              </w:rPr>
            </w:r>
            <w:r>
              <w:rPr>
                <w:noProof/>
                <w:webHidden/>
              </w:rPr>
              <w:fldChar w:fldCharType="separate"/>
            </w:r>
            <w:r>
              <w:rPr>
                <w:noProof/>
                <w:webHidden/>
              </w:rPr>
              <w:t>5</w:t>
            </w:r>
            <w:r>
              <w:rPr>
                <w:noProof/>
                <w:webHidden/>
              </w:rPr>
              <w:fldChar w:fldCharType="end"/>
            </w:r>
          </w:hyperlink>
        </w:p>
        <w:p w:rsidR="00E502B3" w:rsidRDefault="00E502B3">
          <w:pPr>
            <w:pStyle w:val="Spistreci1"/>
            <w:tabs>
              <w:tab w:val="left" w:pos="440"/>
              <w:tab w:val="right" w:leader="dot" w:pos="9062"/>
            </w:tabs>
            <w:rPr>
              <w:rFonts w:eastAsiaTheme="minorEastAsia"/>
              <w:noProof/>
              <w:lang w:eastAsia="pl-PL"/>
            </w:rPr>
          </w:pPr>
          <w:hyperlink w:anchor="_Toc390759468" w:history="1">
            <w:r w:rsidRPr="00797352">
              <w:rPr>
                <w:rStyle w:val="Hipercze"/>
                <w:noProof/>
              </w:rPr>
              <w:t>2.</w:t>
            </w:r>
            <w:r>
              <w:rPr>
                <w:rFonts w:eastAsiaTheme="minorEastAsia"/>
                <w:noProof/>
                <w:lang w:eastAsia="pl-PL"/>
              </w:rPr>
              <w:tab/>
            </w:r>
            <w:r w:rsidRPr="00797352">
              <w:rPr>
                <w:rStyle w:val="Hipercze"/>
                <w:noProof/>
              </w:rPr>
              <w:t>Diagnoza przedsiębiorczości w Suwałkach</w:t>
            </w:r>
            <w:r>
              <w:rPr>
                <w:noProof/>
                <w:webHidden/>
              </w:rPr>
              <w:tab/>
            </w:r>
            <w:r>
              <w:rPr>
                <w:noProof/>
                <w:webHidden/>
              </w:rPr>
              <w:fldChar w:fldCharType="begin"/>
            </w:r>
            <w:r>
              <w:rPr>
                <w:noProof/>
                <w:webHidden/>
              </w:rPr>
              <w:instrText xml:space="preserve"> PAGEREF _Toc390759468 \h </w:instrText>
            </w:r>
            <w:r>
              <w:rPr>
                <w:noProof/>
                <w:webHidden/>
              </w:rPr>
            </w:r>
            <w:r>
              <w:rPr>
                <w:noProof/>
                <w:webHidden/>
              </w:rPr>
              <w:fldChar w:fldCharType="separate"/>
            </w:r>
            <w:r>
              <w:rPr>
                <w:noProof/>
                <w:webHidden/>
              </w:rPr>
              <w:t>6</w:t>
            </w:r>
            <w:r>
              <w:rPr>
                <w:noProof/>
                <w:webHidden/>
              </w:rPr>
              <w:fldChar w:fldCharType="end"/>
            </w:r>
          </w:hyperlink>
        </w:p>
        <w:p w:rsidR="00E502B3" w:rsidRDefault="00E502B3">
          <w:pPr>
            <w:pStyle w:val="Spistreci2"/>
            <w:tabs>
              <w:tab w:val="right" w:leader="dot" w:pos="9062"/>
            </w:tabs>
            <w:rPr>
              <w:rFonts w:eastAsiaTheme="minorEastAsia"/>
              <w:noProof/>
              <w:lang w:eastAsia="pl-PL"/>
            </w:rPr>
          </w:pPr>
          <w:hyperlink w:anchor="_Toc390759469" w:history="1">
            <w:r w:rsidRPr="00797352">
              <w:rPr>
                <w:rStyle w:val="Hipercze"/>
                <w:noProof/>
              </w:rPr>
              <w:t>2.1. Liczba podmiotów gospodarczych</w:t>
            </w:r>
            <w:r>
              <w:rPr>
                <w:noProof/>
                <w:webHidden/>
              </w:rPr>
              <w:tab/>
            </w:r>
            <w:r>
              <w:rPr>
                <w:noProof/>
                <w:webHidden/>
              </w:rPr>
              <w:fldChar w:fldCharType="begin"/>
            </w:r>
            <w:r>
              <w:rPr>
                <w:noProof/>
                <w:webHidden/>
              </w:rPr>
              <w:instrText xml:space="preserve"> PAGEREF _Toc390759469 \h </w:instrText>
            </w:r>
            <w:r>
              <w:rPr>
                <w:noProof/>
                <w:webHidden/>
              </w:rPr>
            </w:r>
            <w:r>
              <w:rPr>
                <w:noProof/>
                <w:webHidden/>
              </w:rPr>
              <w:fldChar w:fldCharType="separate"/>
            </w:r>
            <w:r>
              <w:rPr>
                <w:noProof/>
                <w:webHidden/>
              </w:rPr>
              <w:t>6</w:t>
            </w:r>
            <w:r>
              <w:rPr>
                <w:noProof/>
                <w:webHidden/>
              </w:rPr>
              <w:fldChar w:fldCharType="end"/>
            </w:r>
          </w:hyperlink>
        </w:p>
        <w:p w:rsidR="00E502B3" w:rsidRDefault="00E502B3">
          <w:pPr>
            <w:pStyle w:val="Spistreci2"/>
            <w:tabs>
              <w:tab w:val="right" w:leader="dot" w:pos="9062"/>
            </w:tabs>
            <w:rPr>
              <w:rFonts w:eastAsiaTheme="minorEastAsia"/>
              <w:noProof/>
              <w:lang w:eastAsia="pl-PL"/>
            </w:rPr>
          </w:pPr>
          <w:hyperlink w:anchor="_Toc390759470" w:history="1">
            <w:r w:rsidRPr="00797352">
              <w:rPr>
                <w:rStyle w:val="Hipercze"/>
                <w:noProof/>
              </w:rPr>
              <w:t>2.2. Branże gospodarki lokalnej</w:t>
            </w:r>
            <w:r>
              <w:rPr>
                <w:noProof/>
                <w:webHidden/>
              </w:rPr>
              <w:tab/>
            </w:r>
            <w:r>
              <w:rPr>
                <w:noProof/>
                <w:webHidden/>
              </w:rPr>
              <w:fldChar w:fldCharType="begin"/>
            </w:r>
            <w:r>
              <w:rPr>
                <w:noProof/>
                <w:webHidden/>
              </w:rPr>
              <w:instrText xml:space="preserve"> PAGEREF _Toc390759470 \h </w:instrText>
            </w:r>
            <w:r>
              <w:rPr>
                <w:noProof/>
                <w:webHidden/>
              </w:rPr>
            </w:r>
            <w:r>
              <w:rPr>
                <w:noProof/>
                <w:webHidden/>
              </w:rPr>
              <w:fldChar w:fldCharType="separate"/>
            </w:r>
            <w:r>
              <w:rPr>
                <w:noProof/>
                <w:webHidden/>
              </w:rPr>
              <w:t>7</w:t>
            </w:r>
            <w:r>
              <w:rPr>
                <w:noProof/>
                <w:webHidden/>
              </w:rPr>
              <w:fldChar w:fldCharType="end"/>
            </w:r>
          </w:hyperlink>
        </w:p>
        <w:p w:rsidR="00E502B3" w:rsidRDefault="00E502B3">
          <w:pPr>
            <w:pStyle w:val="Spistreci2"/>
            <w:tabs>
              <w:tab w:val="right" w:leader="dot" w:pos="9062"/>
            </w:tabs>
            <w:rPr>
              <w:rFonts w:eastAsiaTheme="minorEastAsia"/>
              <w:noProof/>
              <w:lang w:eastAsia="pl-PL"/>
            </w:rPr>
          </w:pPr>
          <w:hyperlink w:anchor="_Toc390759471" w:history="1">
            <w:r w:rsidRPr="00797352">
              <w:rPr>
                <w:rStyle w:val="Hipercze"/>
                <w:noProof/>
              </w:rPr>
              <w:t>2.3. Kapitał zagraniczny</w:t>
            </w:r>
            <w:r>
              <w:rPr>
                <w:noProof/>
                <w:webHidden/>
              </w:rPr>
              <w:tab/>
            </w:r>
            <w:r>
              <w:rPr>
                <w:noProof/>
                <w:webHidden/>
              </w:rPr>
              <w:fldChar w:fldCharType="begin"/>
            </w:r>
            <w:r>
              <w:rPr>
                <w:noProof/>
                <w:webHidden/>
              </w:rPr>
              <w:instrText xml:space="preserve"> PAGEREF _Toc390759471 \h </w:instrText>
            </w:r>
            <w:r>
              <w:rPr>
                <w:noProof/>
                <w:webHidden/>
              </w:rPr>
            </w:r>
            <w:r>
              <w:rPr>
                <w:noProof/>
                <w:webHidden/>
              </w:rPr>
              <w:fldChar w:fldCharType="separate"/>
            </w:r>
            <w:r>
              <w:rPr>
                <w:noProof/>
                <w:webHidden/>
              </w:rPr>
              <w:t>10</w:t>
            </w:r>
            <w:r>
              <w:rPr>
                <w:noProof/>
                <w:webHidden/>
              </w:rPr>
              <w:fldChar w:fldCharType="end"/>
            </w:r>
          </w:hyperlink>
        </w:p>
        <w:p w:rsidR="00E502B3" w:rsidRDefault="00E502B3">
          <w:pPr>
            <w:pStyle w:val="Spistreci2"/>
            <w:tabs>
              <w:tab w:val="left" w:pos="880"/>
              <w:tab w:val="right" w:leader="dot" w:pos="9062"/>
            </w:tabs>
            <w:rPr>
              <w:rFonts w:eastAsiaTheme="minorEastAsia"/>
              <w:noProof/>
              <w:lang w:eastAsia="pl-PL"/>
            </w:rPr>
          </w:pPr>
          <w:hyperlink w:anchor="_Toc390759472" w:history="1">
            <w:r w:rsidRPr="00797352">
              <w:rPr>
                <w:rStyle w:val="Hipercze"/>
                <w:noProof/>
              </w:rPr>
              <w:t>2.4.</w:t>
            </w:r>
            <w:r>
              <w:rPr>
                <w:rFonts w:eastAsiaTheme="minorEastAsia"/>
                <w:noProof/>
                <w:lang w:eastAsia="pl-PL"/>
              </w:rPr>
              <w:tab/>
            </w:r>
            <w:r w:rsidRPr="00797352">
              <w:rPr>
                <w:rStyle w:val="Hipercze"/>
                <w:noProof/>
              </w:rPr>
              <w:t>Absorpcja środków unijnych</w:t>
            </w:r>
            <w:r>
              <w:rPr>
                <w:noProof/>
                <w:webHidden/>
              </w:rPr>
              <w:tab/>
            </w:r>
            <w:r>
              <w:rPr>
                <w:noProof/>
                <w:webHidden/>
              </w:rPr>
              <w:fldChar w:fldCharType="begin"/>
            </w:r>
            <w:r>
              <w:rPr>
                <w:noProof/>
                <w:webHidden/>
              </w:rPr>
              <w:instrText xml:space="preserve"> PAGEREF _Toc390759472 \h </w:instrText>
            </w:r>
            <w:r>
              <w:rPr>
                <w:noProof/>
                <w:webHidden/>
              </w:rPr>
            </w:r>
            <w:r>
              <w:rPr>
                <w:noProof/>
                <w:webHidden/>
              </w:rPr>
              <w:fldChar w:fldCharType="separate"/>
            </w:r>
            <w:r>
              <w:rPr>
                <w:noProof/>
                <w:webHidden/>
              </w:rPr>
              <w:t>10</w:t>
            </w:r>
            <w:r>
              <w:rPr>
                <w:noProof/>
                <w:webHidden/>
              </w:rPr>
              <w:fldChar w:fldCharType="end"/>
            </w:r>
          </w:hyperlink>
        </w:p>
        <w:p w:rsidR="00E502B3" w:rsidRDefault="00E502B3">
          <w:pPr>
            <w:pStyle w:val="Spistreci2"/>
            <w:tabs>
              <w:tab w:val="right" w:leader="dot" w:pos="9062"/>
            </w:tabs>
            <w:rPr>
              <w:rFonts w:eastAsiaTheme="minorEastAsia"/>
              <w:noProof/>
              <w:lang w:eastAsia="pl-PL"/>
            </w:rPr>
          </w:pPr>
          <w:hyperlink w:anchor="_Toc390759473" w:history="1">
            <w:r w:rsidRPr="00797352">
              <w:rPr>
                <w:rStyle w:val="Hipercze"/>
                <w:noProof/>
              </w:rPr>
              <w:t>2.5. Rynek pracy</w:t>
            </w:r>
            <w:r>
              <w:rPr>
                <w:noProof/>
                <w:webHidden/>
              </w:rPr>
              <w:tab/>
            </w:r>
            <w:r>
              <w:rPr>
                <w:noProof/>
                <w:webHidden/>
              </w:rPr>
              <w:fldChar w:fldCharType="begin"/>
            </w:r>
            <w:r>
              <w:rPr>
                <w:noProof/>
                <w:webHidden/>
              </w:rPr>
              <w:instrText xml:space="preserve"> PAGEREF _Toc390759473 \h </w:instrText>
            </w:r>
            <w:r>
              <w:rPr>
                <w:noProof/>
                <w:webHidden/>
              </w:rPr>
            </w:r>
            <w:r>
              <w:rPr>
                <w:noProof/>
                <w:webHidden/>
              </w:rPr>
              <w:fldChar w:fldCharType="separate"/>
            </w:r>
            <w:r>
              <w:rPr>
                <w:noProof/>
                <w:webHidden/>
              </w:rPr>
              <w:t>11</w:t>
            </w:r>
            <w:r>
              <w:rPr>
                <w:noProof/>
                <w:webHidden/>
              </w:rPr>
              <w:fldChar w:fldCharType="end"/>
            </w:r>
          </w:hyperlink>
        </w:p>
        <w:p w:rsidR="00E502B3" w:rsidRDefault="00E502B3">
          <w:pPr>
            <w:pStyle w:val="Spistreci3"/>
            <w:tabs>
              <w:tab w:val="right" w:leader="dot" w:pos="9062"/>
            </w:tabs>
            <w:rPr>
              <w:rFonts w:eastAsiaTheme="minorEastAsia"/>
              <w:noProof/>
              <w:lang w:eastAsia="pl-PL"/>
            </w:rPr>
          </w:pPr>
          <w:hyperlink w:anchor="_Toc390759474" w:history="1">
            <w:r w:rsidRPr="00797352">
              <w:rPr>
                <w:rStyle w:val="Hipercze"/>
                <w:noProof/>
              </w:rPr>
              <w:t>2.5.1. Zatrudnienie</w:t>
            </w:r>
            <w:r>
              <w:rPr>
                <w:noProof/>
                <w:webHidden/>
              </w:rPr>
              <w:tab/>
            </w:r>
            <w:r>
              <w:rPr>
                <w:noProof/>
                <w:webHidden/>
              </w:rPr>
              <w:fldChar w:fldCharType="begin"/>
            </w:r>
            <w:r>
              <w:rPr>
                <w:noProof/>
                <w:webHidden/>
              </w:rPr>
              <w:instrText xml:space="preserve"> PAGEREF _Toc390759474 \h </w:instrText>
            </w:r>
            <w:r>
              <w:rPr>
                <w:noProof/>
                <w:webHidden/>
              </w:rPr>
            </w:r>
            <w:r>
              <w:rPr>
                <w:noProof/>
                <w:webHidden/>
              </w:rPr>
              <w:fldChar w:fldCharType="separate"/>
            </w:r>
            <w:r>
              <w:rPr>
                <w:noProof/>
                <w:webHidden/>
              </w:rPr>
              <w:t>11</w:t>
            </w:r>
            <w:r>
              <w:rPr>
                <w:noProof/>
                <w:webHidden/>
              </w:rPr>
              <w:fldChar w:fldCharType="end"/>
            </w:r>
          </w:hyperlink>
        </w:p>
        <w:p w:rsidR="00E502B3" w:rsidRDefault="00E502B3">
          <w:pPr>
            <w:pStyle w:val="Spistreci3"/>
            <w:tabs>
              <w:tab w:val="right" w:leader="dot" w:pos="9062"/>
            </w:tabs>
            <w:rPr>
              <w:rFonts w:eastAsiaTheme="minorEastAsia"/>
              <w:noProof/>
              <w:lang w:eastAsia="pl-PL"/>
            </w:rPr>
          </w:pPr>
          <w:hyperlink w:anchor="_Toc390759475" w:history="1">
            <w:r w:rsidRPr="00797352">
              <w:rPr>
                <w:rStyle w:val="Hipercze"/>
                <w:noProof/>
              </w:rPr>
              <w:t>2.5.2. Stopa bezrobocia</w:t>
            </w:r>
            <w:r>
              <w:rPr>
                <w:noProof/>
                <w:webHidden/>
              </w:rPr>
              <w:tab/>
            </w:r>
            <w:r>
              <w:rPr>
                <w:noProof/>
                <w:webHidden/>
              </w:rPr>
              <w:fldChar w:fldCharType="begin"/>
            </w:r>
            <w:r>
              <w:rPr>
                <w:noProof/>
                <w:webHidden/>
              </w:rPr>
              <w:instrText xml:space="preserve"> PAGEREF _Toc390759475 \h </w:instrText>
            </w:r>
            <w:r>
              <w:rPr>
                <w:noProof/>
                <w:webHidden/>
              </w:rPr>
            </w:r>
            <w:r>
              <w:rPr>
                <w:noProof/>
                <w:webHidden/>
              </w:rPr>
              <w:fldChar w:fldCharType="separate"/>
            </w:r>
            <w:r>
              <w:rPr>
                <w:noProof/>
                <w:webHidden/>
              </w:rPr>
              <w:t>12</w:t>
            </w:r>
            <w:r>
              <w:rPr>
                <w:noProof/>
                <w:webHidden/>
              </w:rPr>
              <w:fldChar w:fldCharType="end"/>
            </w:r>
          </w:hyperlink>
        </w:p>
        <w:p w:rsidR="00E502B3" w:rsidRDefault="00E502B3">
          <w:pPr>
            <w:pStyle w:val="Spistreci2"/>
            <w:tabs>
              <w:tab w:val="right" w:leader="dot" w:pos="9062"/>
            </w:tabs>
            <w:rPr>
              <w:rFonts w:eastAsiaTheme="minorEastAsia"/>
              <w:noProof/>
              <w:lang w:eastAsia="pl-PL"/>
            </w:rPr>
          </w:pPr>
          <w:hyperlink w:anchor="_Toc390759476" w:history="1">
            <w:r w:rsidRPr="00797352">
              <w:rPr>
                <w:rStyle w:val="Hipercze"/>
                <w:noProof/>
              </w:rPr>
              <w:t>2.6. Instytucje okołobiznesowe</w:t>
            </w:r>
            <w:r>
              <w:rPr>
                <w:noProof/>
                <w:webHidden/>
              </w:rPr>
              <w:tab/>
            </w:r>
            <w:r>
              <w:rPr>
                <w:noProof/>
                <w:webHidden/>
              </w:rPr>
              <w:fldChar w:fldCharType="begin"/>
            </w:r>
            <w:r>
              <w:rPr>
                <w:noProof/>
                <w:webHidden/>
              </w:rPr>
              <w:instrText xml:space="preserve"> PAGEREF _Toc390759476 \h </w:instrText>
            </w:r>
            <w:r>
              <w:rPr>
                <w:noProof/>
                <w:webHidden/>
              </w:rPr>
            </w:r>
            <w:r>
              <w:rPr>
                <w:noProof/>
                <w:webHidden/>
              </w:rPr>
              <w:fldChar w:fldCharType="separate"/>
            </w:r>
            <w:r>
              <w:rPr>
                <w:noProof/>
                <w:webHidden/>
              </w:rPr>
              <w:t>13</w:t>
            </w:r>
            <w:r>
              <w:rPr>
                <w:noProof/>
                <w:webHidden/>
              </w:rPr>
              <w:fldChar w:fldCharType="end"/>
            </w:r>
          </w:hyperlink>
        </w:p>
        <w:p w:rsidR="00E502B3" w:rsidRDefault="00E502B3">
          <w:pPr>
            <w:pStyle w:val="Spistreci3"/>
            <w:tabs>
              <w:tab w:val="right" w:leader="dot" w:pos="9062"/>
            </w:tabs>
            <w:rPr>
              <w:rFonts w:eastAsiaTheme="minorEastAsia"/>
              <w:noProof/>
              <w:lang w:eastAsia="pl-PL"/>
            </w:rPr>
          </w:pPr>
          <w:hyperlink w:anchor="_Toc390759477" w:history="1">
            <w:r w:rsidRPr="00797352">
              <w:rPr>
                <w:rStyle w:val="Hipercze"/>
                <w:noProof/>
              </w:rPr>
              <w:t>2.6.1. Fundacja Rozwoju Przedsiębiorczości</w:t>
            </w:r>
            <w:r>
              <w:rPr>
                <w:noProof/>
                <w:webHidden/>
              </w:rPr>
              <w:tab/>
            </w:r>
            <w:r>
              <w:rPr>
                <w:noProof/>
                <w:webHidden/>
              </w:rPr>
              <w:fldChar w:fldCharType="begin"/>
            </w:r>
            <w:r>
              <w:rPr>
                <w:noProof/>
                <w:webHidden/>
              </w:rPr>
              <w:instrText xml:space="preserve"> PAGEREF _Toc390759477 \h </w:instrText>
            </w:r>
            <w:r>
              <w:rPr>
                <w:noProof/>
                <w:webHidden/>
              </w:rPr>
            </w:r>
            <w:r>
              <w:rPr>
                <w:noProof/>
                <w:webHidden/>
              </w:rPr>
              <w:fldChar w:fldCharType="separate"/>
            </w:r>
            <w:r>
              <w:rPr>
                <w:noProof/>
                <w:webHidden/>
              </w:rPr>
              <w:t>13</w:t>
            </w:r>
            <w:r>
              <w:rPr>
                <w:noProof/>
                <w:webHidden/>
              </w:rPr>
              <w:fldChar w:fldCharType="end"/>
            </w:r>
          </w:hyperlink>
        </w:p>
        <w:p w:rsidR="00E502B3" w:rsidRDefault="00E502B3">
          <w:pPr>
            <w:pStyle w:val="Spistreci3"/>
            <w:tabs>
              <w:tab w:val="right" w:leader="dot" w:pos="9062"/>
            </w:tabs>
            <w:rPr>
              <w:rFonts w:eastAsiaTheme="minorEastAsia"/>
              <w:noProof/>
              <w:lang w:eastAsia="pl-PL"/>
            </w:rPr>
          </w:pPr>
          <w:hyperlink w:anchor="_Toc390759478" w:history="1">
            <w:r w:rsidRPr="00797352">
              <w:rPr>
                <w:rStyle w:val="Hipercze"/>
                <w:rFonts w:eastAsia="Times New Roman"/>
                <w:noProof/>
                <w:shd w:val="clear" w:color="auto" w:fill="FFFFFF"/>
              </w:rPr>
              <w:t>2.6.2. Agencja  Rozwoju  Regionalnego  "ARES" S. A.  w  Suwałkach</w:t>
            </w:r>
            <w:r>
              <w:rPr>
                <w:noProof/>
                <w:webHidden/>
              </w:rPr>
              <w:tab/>
            </w:r>
            <w:r>
              <w:rPr>
                <w:noProof/>
                <w:webHidden/>
              </w:rPr>
              <w:fldChar w:fldCharType="begin"/>
            </w:r>
            <w:r>
              <w:rPr>
                <w:noProof/>
                <w:webHidden/>
              </w:rPr>
              <w:instrText xml:space="preserve"> PAGEREF _Toc390759478 \h </w:instrText>
            </w:r>
            <w:r>
              <w:rPr>
                <w:noProof/>
                <w:webHidden/>
              </w:rPr>
            </w:r>
            <w:r>
              <w:rPr>
                <w:noProof/>
                <w:webHidden/>
              </w:rPr>
              <w:fldChar w:fldCharType="separate"/>
            </w:r>
            <w:r>
              <w:rPr>
                <w:noProof/>
                <w:webHidden/>
              </w:rPr>
              <w:t>13</w:t>
            </w:r>
            <w:r>
              <w:rPr>
                <w:noProof/>
                <w:webHidden/>
              </w:rPr>
              <w:fldChar w:fldCharType="end"/>
            </w:r>
          </w:hyperlink>
        </w:p>
        <w:p w:rsidR="00E502B3" w:rsidRDefault="00E502B3">
          <w:pPr>
            <w:pStyle w:val="Spistreci3"/>
            <w:tabs>
              <w:tab w:val="right" w:leader="dot" w:pos="9062"/>
            </w:tabs>
            <w:rPr>
              <w:rFonts w:eastAsiaTheme="minorEastAsia"/>
              <w:noProof/>
              <w:lang w:eastAsia="pl-PL"/>
            </w:rPr>
          </w:pPr>
          <w:hyperlink w:anchor="_Toc390759479" w:history="1">
            <w:r w:rsidRPr="00797352">
              <w:rPr>
                <w:rStyle w:val="Hipercze"/>
                <w:noProof/>
              </w:rPr>
              <w:t>2.6.3.Suwalska Specjalna Strefa Ekonomiczna S. A.</w:t>
            </w:r>
            <w:r>
              <w:rPr>
                <w:noProof/>
                <w:webHidden/>
              </w:rPr>
              <w:tab/>
            </w:r>
            <w:r>
              <w:rPr>
                <w:noProof/>
                <w:webHidden/>
              </w:rPr>
              <w:fldChar w:fldCharType="begin"/>
            </w:r>
            <w:r>
              <w:rPr>
                <w:noProof/>
                <w:webHidden/>
              </w:rPr>
              <w:instrText xml:space="preserve"> PAGEREF _Toc390759479 \h </w:instrText>
            </w:r>
            <w:r>
              <w:rPr>
                <w:noProof/>
                <w:webHidden/>
              </w:rPr>
            </w:r>
            <w:r>
              <w:rPr>
                <w:noProof/>
                <w:webHidden/>
              </w:rPr>
              <w:fldChar w:fldCharType="separate"/>
            </w:r>
            <w:r>
              <w:rPr>
                <w:noProof/>
                <w:webHidden/>
              </w:rPr>
              <w:t>13</w:t>
            </w:r>
            <w:r>
              <w:rPr>
                <w:noProof/>
                <w:webHidden/>
              </w:rPr>
              <w:fldChar w:fldCharType="end"/>
            </w:r>
          </w:hyperlink>
        </w:p>
        <w:p w:rsidR="00E502B3" w:rsidRDefault="00E502B3">
          <w:pPr>
            <w:pStyle w:val="Spistreci3"/>
            <w:tabs>
              <w:tab w:val="right" w:leader="dot" w:pos="9062"/>
            </w:tabs>
            <w:rPr>
              <w:rFonts w:eastAsiaTheme="minorEastAsia"/>
              <w:noProof/>
              <w:lang w:eastAsia="pl-PL"/>
            </w:rPr>
          </w:pPr>
          <w:hyperlink w:anchor="_Toc390759480" w:history="1">
            <w:r w:rsidRPr="00797352">
              <w:rPr>
                <w:rStyle w:val="Hipercze"/>
                <w:noProof/>
              </w:rPr>
              <w:t>2.6.4. Park Naukowo - Technologiczny Polska - Wschód w Suwałkach Sp. z o. o.</w:t>
            </w:r>
            <w:r>
              <w:rPr>
                <w:noProof/>
                <w:webHidden/>
              </w:rPr>
              <w:tab/>
            </w:r>
            <w:r>
              <w:rPr>
                <w:noProof/>
                <w:webHidden/>
              </w:rPr>
              <w:fldChar w:fldCharType="begin"/>
            </w:r>
            <w:r>
              <w:rPr>
                <w:noProof/>
                <w:webHidden/>
              </w:rPr>
              <w:instrText xml:space="preserve"> PAGEREF _Toc390759480 \h </w:instrText>
            </w:r>
            <w:r>
              <w:rPr>
                <w:noProof/>
                <w:webHidden/>
              </w:rPr>
            </w:r>
            <w:r>
              <w:rPr>
                <w:noProof/>
                <w:webHidden/>
              </w:rPr>
              <w:fldChar w:fldCharType="separate"/>
            </w:r>
            <w:r>
              <w:rPr>
                <w:noProof/>
                <w:webHidden/>
              </w:rPr>
              <w:t>14</w:t>
            </w:r>
            <w:r>
              <w:rPr>
                <w:noProof/>
                <w:webHidden/>
              </w:rPr>
              <w:fldChar w:fldCharType="end"/>
            </w:r>
          </w:hyperlink>
        </w:p>
        <w:p w:rsidR="00E502B3" w:rsidRDefault="00E502B3">
          <w:pPr>
            <w:pStyle w:val="Spistreci2"/>
            <w:tabs>
              <w:tab w:val="right" w:leader="dot" w:pos="9062"/>
            </w:tabs>
            <w:rPr>
              <w:rFonts w:eastAsiaTheme="minorEastAsia"/>
              <w:noProof/>
              <w:lang w:eastAsia="pl-PL"/>
            </w:rPr>
          </w:pPr>
          <w:hyperlink w:anchor="_Toc390759481" w:history="1">
            <w:r w:rsidRPr="00797352">
              <w:rPr>
                <w:rStyle w:val="Hipercze"/>
                <w:noProof/>
              </w:rPr>
              <w:t>2.7. Zagospodarowanie przestrzenne</w:t>
            </w:r>
            <w:r>
              <w:rPr>
                <w:noProof/>
                <w:webHidden/>
              </w:rPr>
              <w:tab/>
            </w:r>
            <w:r>
              <w:rPr>
                <w:noProof/>
                <w:webHidden/>
              </w:rPr>
              <w:fldChar w:fldCharType="begin"/>
            </w:r>
            <w:r>
              <w:rPr>
                <w:noProof/>
                <w:webHidden/>
              </w:rPr>
              <w:instrText xml:space="preserve"> PAGEREF _Toc390759481 \h </w:instrText>
            </w:r>
            <w:r>
              <w:rPr>
                <w:noProof/>
                <w:webHidden/>
              </w:rPr>
            </w:r>
            <w:r>
              <w:rPr>
                <w:noProof/>
                <w:webHidden/>
              </w:rPr>
              <w:fldChar w:fldCharType="separate"/>
            </w:r>
            <w:r>
              <w:rPr>
                <w:noProof/>
                <w:webHidden/>
              </w:rPr>
              <w:t>14</w:t>
            </w:r>
            <w:r>
              <w:rPr>
                <w:noProof/>
                <w:webHidden/>
              </w:rPr>
              <w:fldChar w:fldCharType="end"/>
            </w:r>
          </w:hyperlink>
        </w:p>
        <w:p w:rsidR="00E502B3" w:rsidRDefault="00E502B3">
          <w:pPr>
            <w:pStyle w:val="Spistreci1"/>
            <w:tabs>
              <w:tab w:val="left" w:pos="440"/>
              <w:tab w:val="right" w:leader="dot" w:pos="9062"/>
            </w:tabs>
            <w:rPr>
              <w:rFonts w:eastAsiaTheme="minorEastAsia"/>
              <w:noProof/>
              <w:lang w:eastAsia="pl-PL"/>
            </w:rPr>
          </w:pPr>
          <w:hyperlink w:anchor="_Toc390759482" w:history="1">
            <w:r w:rsidRPr="00797352">
              <w:rPr>
                <w:rStyle w:val="Hipercze"/>
                <w:noProof/>
              </w:rPr>
              <w:t>3.</w:t>
            </w:r>
            <w:r>
              <w:rPr>
                <w:rFonts w:eastAsiaTheme="minorEastAsia"/>
                <w:noProof/>
                <w:lang w:eastAsia="pl-PL"/>
              </w:rPr>
              <w:tab/>
            </w:r>
            <w:r w:rsidRPr="00797352">
              <w:rPr>
                <w:rStyle w:val="Hipercze"/>
                <w:noProof/>
              </w:rPr>
              <w:t>Cele Programu</w:t>
            </w:r>
            <w:r>
              <w:rPr>
                <w:noProof/>
                <w:webHidden/>
              </w:rPr>
              <w:tab/>
            </w:r>
            <w:r>
              <w:rPr>
                <w:noProof/>
                <w:webHidden/>
              </w:rPr>
              <w:fldChar w:fldCharType="begin"/>
            </w:r>
            <w:r>
              <w:rPr>
                <w:noProof/>
                <w:webHidden/>
              </w:rPr>
              <w:instrText xml:space="preserve"> PAGEREF _Toc390759482 \h </w:instrText>
            </w:r>
            <w:r>
              <w:rPr>
                <w:noProof/>
                <w:webHidden/>
              </w:rPr>
            </w:r>
            <w:r>
              <w:rPr>
                <w:noProof/>
                <w:webHidden/>
              </w:rPr>
              <w:fldChar w:fldCharType="separate"/>
            </w:r>
            <w:r>
              <w:rPr>
                <w:noProof/>
                <w:webHidden/>
              </w:rPr>
              <w:t>16</w:t>
            </w:r>
            <w:r>
              <w:rPr>
                <w:noProof/>
                <w:webHidden/>
              </w:rPr>
              <w:fldChar w:fldCharType="end"/>
            </w:r>
          </w:hyperlink>
        </w:p>
        <w:p w:rsidR="00E502B3" w:rsidRDefault="00E502B3">
          <w:pPr>
            <w:pStyle w:val="Spistreci1"/>
            <w:tabs>
              <w:tab w:val="right" w:leader="dot" w:pos="9062"/>
            </w:tabs>
            <w:rPr>
              <w:rFonts w:eastAsiaTheme="minorEastAsia"/>
              <w:noProof/>
              <w:lang w:eastAsia="pl-PL"/>
            </w:rPr>
          </w:pPr>
          <w:hyperlink w:anchor="_Toc390759483" w:history="1">
            <w:r w:rsidRPr="00797352">
              <w:rPr>
                <w:rStyle w:val="Hipercze"/>
                <w:noProof/>
              </w:rPr>
              <w:t>4. Cele operacyjne</w:t>
            </w:r>
            <w:r>
              <w:rPr>
                <w:noProof/>
                <w:webHidden/>
              </w:rPr>
              <w:tab/>
            </w:r>
            <w:r>
              <w:rPr>
                <w:noProof/>
                <w:webHidden/>
              </w:rPr>
              <w:fldChar w:fldCharType="begin"/>
            </w:r>
            <w:r>
              <w:rPr>
                <w:noProof/>
                <w:webHidden/>
              </w:rPr>
              <w:instrText xml:space="preserve"> PAGEREF _Toc390759483 \h </w:instrText>
            </w:r>
            <w:r>
              <w:rPr>
                <w:noProof/>
                <w:webHidden/>
              </w:rPr>
            </w:r>
            <w:r>
              <w:rPr>
                <w:noProof/>
                <w:webHidden/>
              </w:rPr>
              <w:fldChar w:fldCharType="separate"/>
            </w:r>
            <w:r>
              <w:rPr>
                <w:noProof/>
                <w:webHidden/>
              </w:rPr>
              <w:t>16</w:t>
            </w:r>
            <w:r>
              <w:rPr>
                <w:noProof/>
                <w:webHidden/>
              </w:rPr>
              <w:fldChar w:fldCharType="end"/>
            </w:r>
          </w:hyperlink>
        </w:p>
        <w:p w:rsidR="00E502B3" w:rsidRDefault="00E502B3">
          <w:pPr>
            <w:pStyle w:val="Spistreci2"/>
            <w:tabs>
              <w:tab w:val="right" w:leader="dot" w:pos="9062"/>
            </w:tabs>
            <w:rPr>
              <w:rFonts w:eastAsiaTheme="minorEastAsia"/>
              <w:noProof/>
              <w:lang w:eastAsia="pl-PL"/>
            </w:rPr>
          </w:pPr>
          <w:hyperlink w:anchor="_Toc390759484" w:history="1">
            <w:r w:rsidRPr="00797352">
              <w:rPr>
                <w:rStyle w:val="Hipercze"/>
                <w:noProof/>
              </w:rPr>
              <w:t>Cel operacyjny 1.1. Wzrost innowacyjności gospodarki</w:t>
            </w:r>
            <w:r>
              <w:rPr>
                <w:noProof/>
                <w:webHidden/>
              </w:rPr>
              <w:tab/>
            </w:r>
            <w:r>
              <w:rPr>
                <w:noProof/>
                <w:webHidden/>
              </w:rPr>
              <w:fldChar w:fldCharType="begin"/>
            </w:r>
            <w:r>
              <w:rPr>
                <w:noProof/>
                <w:webHidden/>
              </w:rPr>
              <w:instrText xml:space="preserve"> PAGEREF _Toc390759484 \h </w:instrText>
            </w:r>
            <w:r>
              <w:rPr>
                <w:noProof/>
                <w:webHidden/>
              </w:rPr>
            </w:r>
            <w:r>
              <w:rPr>
                <w:noProof/>
                <w:webHidden/>
              </w:rPr>
              <w:fldChar w:fldCharType="separate"/>
            </w:r>
            <w:r>
              <w:rPr>
                <w:noProof/>
                <w:webHidden/>
              </w:rPr>
              <w:t>16</w:t>
            </w:r>
            <w:r>
              <w:rPr>
                <w:noProof/>
                <w:webHidden/>
              </w:rPr>
              <w:fldChar w:fldCharType="end"/>
            </w:r>
          </w:hyperlink>
        </w:p>
        <w:p w:rsidR="00E502B3" w:rsidRDefault="00E502B3">
          <w:pPr>
            <w:pStyle w:val="Spistreci3"/>
            <w:tabs>
              <w:tab w:val="right" w:leader="dot" w:pos="9062"/>
            </w:tabs>
            <w:rPr>
              <w:rFonts w:eastAsiaTheme="minorEastAsia"/>
              <w:noProof/>
              <w:lang w:eastAsia="pl-PL"/>
            </w:rPr>
          </w:pPr>
          <w:hyperlink w:anchor="_Toc390759485" w:history="1">
            <w:r w:rsidRPr="00797352">
              <w:rPr>
                <w:rStyle w:val="Hipercze"/>
                <w:noProof/>
              </w:rPr>
              <w:t>1.1.1.  Rozwój centrum ratownictwa medycznego</w:t>
            </w:r>
            <w:r>
              <w:rPr>
                <w:noProof/>
                <w:webHidden/>
              </w:rPr>
              <w:tab/>
            </w:r>
            <w:r>
              <w:rPr>
                <w:noProof/>
                <w:webHidden/>
              </w:rPr>
              <w:fldChar w:fldCharType="begin"/>
            </w:r>
            <w:r>
              <w:rPr>
                <w:noProof/>
                <w:webHidden/>
              </w:rPr>
              <w:instrText xml:space="preserve"> PAGEREF _Toc390759485 \h </w:instrText>
            </w:r>
            <w:r>
              <w:rPr>
                <w:noProof/>
                <w:webHidden/>
              </w:rPr>
            </w:r>
            <w:r>
              <w:rPr>
                <w:noProof/>
                <w:webHidden/>
              </w:rPr>
              <w:fldChar w:fldCharType="separate"/>
            </w:r>
            <w:r>
              <w:rPr>
                <w:noProof/>
                <w:webHidden/>
              </w:rPr>
              <w:t>16</w:t>
            </w:r>
            <w:r>
              <w:rPr>
                <w:noProof/>
                <w:webHidden/>
              </w:rPr>
              <w:fldChar w:fldCharType="end"/>
            </w:r>
          </w:hyperlink>
        </w:p>
        <w:p w:rsidR="00E502B3" w:rsidRDefault="00E502B3">
          <w:pPr>
            <w:pStyle w:val="Spistreci3"/>
            <w:tabs>
              <w:tab w:val="right" w:leader="dot" w:pos="9062"/>
            </w:tabs>
            <w:rPr>
              <w:rFonts w:eastAsiaTheme="minorEastAsia"/>
              <w:noProof/>
              <w:lang w:eastAsia="pl-PL"/>
            </w:rPr>
          </w:pPr>
          <w:hyperlink w:anchor="_Toc390759486" w:history="1">
            <w:r w:rsidRPr="00797352">
              <w:rPr>
                <w:rStyle w:val="Hipercze"/>
                <w:noProof/>
              </w:rPr>
              <w:t>1.1.2. Wspieranie rozwoju Parku Naukowo-Technologicznego Polska-Wschód.</w:t>
            </w:r>
            <w:r>
              <w:rPr>
                <w:noProof/>
                <w:webHidden/>
              </w:rPr>
              <w:tab/>
            </w:r>
            <w:r>
              <w:rPr>
                <w:noProof/>
                <w:webHidden/>
              </w:rPr>
              <w:fldChar w:fldCharType="begin"/>
            </w:r>
            <w:r>
              <w:rPr>
                <w:noProof/>
                <w:webHidden/>
              </w:rPr>
              <w:instrText xml:space="preserve"> PAGEREF _Toc390759486 \h </w:instrText>
            </w:r>
            <w:r>
              <w:rPr>
                <w:noProof/>
                <w:webHidden/>
              </w:rPr>
            </w:r>
            <w:r>
              <w:rPr>
                <w:noProof/>
                <w:webHidden/>
              </w:rPr>
              <w:fldChar w:fldCharType="separate"/>
            </w:r>
            <w:r>
              <w:rPr>
                <w:noProof/>
                <w:webHidden/>
              </w:rPr>
              <w:t>17</w:t>
            </w:r>
            <w:r>
              <w:rPr>
                <w:noProof/>
                <w:webHidden/>
              </w:rPr>
              <w:fldChar w:fldCharType="end"/>
            </w:r>
          </w:hyperlink>
        </w:p>
        <w:p w:rsidR="00E502B3" w:rsidRDefault="00E502B3">
          <w:pPr>
            <w:pStyle w:val="Spistreci2"/>
            <w:tabs>
              <w:tab w:val="right" w:leader="dot" w:pos="9062"/>
            </w:tabs>
            <w:rPr>
              <w:rFonts w:eastAsiaTheme="minorEastAsia"/>
              <w:noProof/>
              <w:lang w:eastAsia="pl-PL"/>
            </w:rPr>
          </w:pPr>
          <w:hyperlink w:anchor="_Toc390759487" w:history="1">
            <w:r w:rsidRPr="00797352">
              <w:rPr>
                <w:rStyle w:val="Hipercze"/>
                <w:noProof/>
              </w:rPr>
              <w:t>Cel operacyjny 1.2. Poprawa infrastruktury technicznej dla celów gospodarczych</w:t>
            </w:r>
            <w:r>
              <w:rPr>
                <w:noProof/>
                <w:webHidden/>
              </w:rPr>
              <w:tab/>
            </w:r>
            <w:r>
              <w:rPr>
                <w:noProof/>
                <w:webHidden/>
              </w:rPr>
              <w:fldChar w:fldCharType="begin"/>
            </w:r>
            <w:r>
              <w:rPr>
                <w:noProof/>
                <w:webHidden/>
              </w:rPr>
              <w:instrText xml:space="preserve"> PAGEREF _Toc390759487 \h </w:instrText>
            </w:r>
            <w:r>
              <w:rPr>
                <w:noProof/>
                <w:webHidden/>
              </w:rPr>
            </w:r>
            <w:r>
              <w:rPr>
                <w:noProof/>
                <w:webHidden/>
              </w:rPr>
              <w:fldChar w:fldCharType="separate"/>
            </w:r>
            <w:r>
              <w:rPr>
                <w:noProof/>
                <w:webHidden/>
              </w:rPr>
              <w:t>17</w:t>
            </w:r>
            <w:r>
              <w:rPr>
                <w:noProof/>
                <w:webHidden/>
              </w:rPr>
              <w:fldChar w:fldCharType="end"/>
            </w:r>
          </w:hyperlink>
        </w:p>
        <w:p w:rsidR="00E502B3" w:rsidRDefault="00E502B3">
          <w:pPr>
            <w:pStyle w:val="Spistreci3"/>
            <w:tabs>
              <w:tab w:val="right" w:leader="dot" w:pos="9062"/>
            </w:tabs>
            <w:rPr>
              <w:rFonts w:eastAsiaTheme="minorEastAsia"/>
              <w:noProof/>
              <w:lang w:eastAsia="pl-PL"/>
            </w:rPr>
          </w:pPr>
          <w:hyperlink w:anchor="_Toc390759488" w:history="1">
            <w:r w:rsidRPr="00797352">
              <w:rPr>
                <w:rStyle w:val="Hipercze"/>
                <w:noProof/>
              </w:rPr>
              <w:t>1.2.1. Przygotowanie terenów pod inwestycje prywatne</w:t>
            </w:r>
            <w:r>
              <w:rPr>
                <w:noProof/>
                <w:webHidden/>
              </w:rPr>
              <w:tab/>
            </w:r>
            <w:r>
              <w:rPr>
                <w:noProof/>
                <w:webHidden/>
              </w:rPr>
              <w:fldChar w:fldCharType="begin"/>
            </w:r>
            <w:r>
              <w:rPr>
                <w:noProof/>
                <w:webHidden/>
              </w:rPr>
              <w:instrText xml:space="preserve"> PAGEREF _Toc390759488 \h </w:instrText>
            </w:r>
            <w:r>
              <w:rPr>
                <w:noProof/>
                <w:webHidden/>
              </w:rPr>
            </w:r>
            <w:r>
              <w:rPr>
                <w:noProof/>
                <w:webHidden/>
              </w:rPr>
              <w:fldChar w:fldCharType="separate"/>
            </w:r>
            <w:r>
              <w:rPr>
                <w:noProof/>
                <w:webHidden/>
              </w:rPr>
              <w:t>17</w:t>
            </w:r>
            <w:r>
              <w:rPr>
                <w:noProof/>
                <w:webHidden/>
              </w:rPr>
              <w:fldChar w:fldCharType="end"/>
            </w:r>
          </w:hyperlink>
        </w:p>
        <w:p w:rsidR="00E502B3" w:rsidRDefault="00E502B3">
          <w:pPr>
            <w:pStyle w:val="Spistreci3"/>
            <w:tabs>
              <w:tab w:val="right" w:leader="dot" w:pos="9062"/>
            </w:tabs>
            <w:rPr>
              <w:rFonts w:eastAsiaTheme="minorEastAsia"/>
              <w:noProof/>
              <w:lang w:eastAsia="pl-PL"/>
            </w:rPr>
          </w:pPr>
          <w:hyperlink w:anchor="_Toc390759489" w:history="1">
            <w:r w:rsidRPr="00797352">
              <w:rPr>
                <w:rStyle w:val="Hipercze"/>
                <w:noProof/>
              </w:rPr>
              <w:t>1.2.2. Prowadzenie przyjaznej dla przedsiębiorców polityki zarządzania gruntami należącymi do miasta</w:t>
            </w:r>
            <w:r>
              <w:rPr>
                <w:noProof/>
                <w:webHidden/>
              </w:rPr>
              <w:tab/>
            </w:r>
            <w:r>
              <w:rPr>
                <w:noProof/>
                <w:webHidden/>
              </w:rPr>
              <w:fldChar w:fldCharType="begin"/>
            </w:r>
            <w:r>
              <w:rPr>
                <w:noProof/>
                <w:webHidden/>
              </w:rPr>
              <w:instrText xml:space="preserve"> PAGEREF _Toc390759489 \h </w:instrText>
            </w:r>
            <w:r>
              <w:rPr>
                <w:noProof/>
                <w:webHidden/>
              </w:rPr>
            </w:r>
            <w:r>
              <w:rPr>
                <w:noProof/>
                <w:webHidden/>
              </w:rPr>
              <w:fldChar w:fldCharType="separate"/>
            </w:r>
            <w:r>
              <w:rPr>
                <w:noProof/>
                <w:webHidden/>
              </w:rPr>
              <w:t>20</w:t>
            </w:r>
            <w:r>
              <w:rPr>
                <w:noProof/>
                <w:webHidden/>
              </w:rPr>
              <w:fldChar w:fldCharType="end"/>
            </w:r>
          </w:hyperlink>
        </w:p>
        <w:p w:rsidR="00E502B3" w:rsidRDefault="00E502B3">
          <w:pPr>
            <w:pStyle w:val="Spistreci2"/>
            <w:tabs>
              <w:tab w:val="right" w:leader="dot" w:pos="9062"/>
            </w:tabs>
            <w:rPr>
              <w:rFonts w:eastAsiaTheme="minorEastAsia"/>
              <w:noProof/>
              <w:lang w:eastAsia="pl-PL"/>
            </w:rPr>
          </w:pPr>
          <w:hyperlink w:anchor="_Toc390759490" w:history="1">
            <w:r w:rsidRPr="00797352">
              <w:rPr>
                <w:rStyle w:val="Hipercze"/>
                <w:noProof/>
              </w:rPr>
              <w:t>Cel operacyjny 1.3 Wzrost znaczenia przemysłów kreatywnych w rozwoju gospodarczym</w:t>
            </w:r>
            <w:r>
              <w:rPr>
                <w:noProof/>
                <w:webHidden/>
              </w:rPr>
              <w:tab/>
            </w:r>
            <w:r>
              <w:rPr>
                <w:noProof/>
                <w:webHidden/>
              </w:rPr>
              <w:fldChar w:fldCharType="begin"/>
            </w:r>
            <w:r>
              <w:rPr>
                <w:noProof/>
                <w:webHidden/>
              </w:rPr>
              <w:instrText xml:space="preserve"> PAGEREF _Toc390759490 \h </w:instrText>
            </w:r>
            <w:r>
              <w:rPr>
                <w:noProof/>
                <w:webHidden/>
              </w:rPr>
            </w:r>
            <w:r>
              <w:rPr>
                <w:noProof/>
                <w:webHidden/>
              </w:rPr>
              <w:fldChar w:fldCharType="separate"/>
            </w:r>
            <w:r>
              <w:rPr>
                <w:noProof/>
                <w:webHidden/>
              </w:rPr>
              <w:t>20</w:t>
            </w:r>
            <w:r>
              <w:rPr>
                <w:noProof/>
                <w:webHidden/>
              </w:rPr>
              <w:fldChar w:fldCharType="end"/>
            </w:r>
          </w:hyperlink>
        </w:p>
        <w:p w:rsidR="00E502B3" w:rsidRDefault="00E502B3">
          <w:pPr>
            <w:pStyle w:val="Spistreci3"/>
            <w:tabs>
              <w:tab w:val="right" w:leader="dot" w:pos="9062"/>
            </w:tabs>
            <w:rPr>
              <w:rFonts w:eastAsiaTheme="minorEastAsia"/>
              <w:noProof/>
              <w:lang w:eastAsia="pl-PL"/>
            </w:rPr>
          </w:pPr>
          <w:hyperlink w:anchor="_Toc390759491" w:history="1">
            <w:r w:rsidRPr="00797352">
              <w:rPr>
                <w:rStyle w:val="Hipercze"/>
                <w:rFonts w:eastAsia="FranklinGothicMedium"/>
                <w:noProof/>
              </w:rPr>
              <w:t xml:space="preserve">1.3.1. Sieć współpracy </w:t>
            </w:r>
            <w:r w:rsidRPr="00797352">
              <w:rPr>
                <w:rStyle w:val="Hipercze"/>
                <w:rFonts w:eastAsia="FranklinGothicMedium" w:cs="Times New Roman"/>
                <w:noProof/>
              </w:rPr>
              <w:t>między podmiotami sektora kreatywnego</w:t>
            </w:r>
            <w:r>
              <w:rPr>
                <w:noProof/>
                <w:webHidden/>
              </w:rPr>
              <w:tab/>
            </w:r>
            <w:r>
              <w:rPr>
                <w:noProof/>
                <w:webHidden/>
              </w:rPr>
              <w:fldChar w:fldCharType="begin"/>
            </w:r>
            <w:r>
              <w:rPr>
                <w:noProof/>
                <w:webHidden/>
              </w:rPr>
              <w:instrText xml:space="preserve"> PAGEREF _Toc390759491 \h </w:instrText>
            </w:r>
            <w:r>
              <w:rPr>
                <w:noProof/>
                <w:webHidden/>
              </w:rPr>
            </w:r>
            <w:r>
              <w:rPr>
                <w:noProof/>
                <w:webHidden/>
              </w:rPr>
              <w:fldChar w:fldCharType="separate"/>
            </w:r>
            <w:r>
              <w:rPr>
                <w:noProof/>
                <w:webHidden/>
              </w:rPr>
              <w:t>21</w:t>
            </w:r>
            <w:r>
              <w:rPr>
                <w:noProof/>
                <w:webHidden/>
              </w:rPr>
              <w:fldChar w:fldCharType="end"/>
            </w:r>
          </w:hyperlink>
        </w:p>
        <w:p w:rsidR="00E502B3" w:rsidRDefault="00E502B3">
          <w:pPr>
            <w:pStyle w:val="Spistreci3"/>
            <w:tabs>
              <w:tab w:val="right" w:leader="dot" w:pos="9062"/>
            </w:tabs>
            <w:rPr>
              <w:rFonts w:eastAsiaTheme="minorEastAsia"/>
              <w:noProof/>
              <w:lang w:eastAsia="pl-PL"/>
            </w:rPr>
          </w:pPr>
          <w:hyperlink w:anchor="_Toc390759492" w:history="1">
            <w:r w:rsidRPr="00797352">
              <w:rPr>
                <w:rStyle w:val="Hipercze"/>
                <w:rFonts w:eastAsia="FranklinGothicMedium"/>
                <w:noProof/>
              </w:rPr>
              <w:t>1.3.2. Stworzenie funduszu i wsparcie komercjalizacji produktów w sektorze kreatywnym</w:t>
            </w:r>
            <w:r>
              <w:rPr>
                <w:noProof/>
                <w:webHidden/>
              </w:rPr>
              <w:tab/>
            </w:r>
            <w:r>
              <w:rPr>
                <w:noProof/>
                <w:webHidden/>
              </w:rPr>
              <w:fldChar w:fldCharType="begin"/>
            </w:r>
            <w:r>
              <w:rPr>
                <w:noProof/>
                <w:webHidden/>
              </w:rPr>
              <w:instrText xml:space="preserve"> PAGEREF _Toc390759492 \h </w:instrText>
            </w:r>
            <w:r>
              <w:rPr>
                <w:noProof/>
                <w:webHidden/>
              </w:rPr>
            </w:r>
            <w:r>
              <w:rPr>
                <w:noProof/>
                <w:webHidden/>
              </w:rPr>
              <w:fldChar w:fldCharType="separate"/>
            </w:r>
            <w:r>
              <w:rPr>
                <w:noProof/>
                <w:webHidden/>
              </w:rPr>
              <w:t>22</w:t>
            </w:r>
            <w:r>
              <w:rPr>
                <w:noProof/>
                <w:webHidden/>
              </w:rPr>
              <w:fldChar w:fldCharType="end"/>
            </w:r>
          </w:hyperlink>
        </w:p>
        <w:p w:rsidR="00E502B3" w:rsidRDefault="00E502B3">
          <w:pPr>
            <w:pStyle w:val="Spistreci2"/>
            <w:tabs>
              <w:tab w:val="right" w:leader="dot" w:pos="9062"/>
            </w:tabs>
            <w:rPr>
              <w:rFonts w:eastAsiaTheme="minorEastAsia"/>
              <w:noProof/>
              <w:lang w:eastAsia="pl-PL"/>
            </w:rPr>
          </w:pPr>
          <w:hyperlink w:anchor="_Toc390759493" w:history="1">
            <w:r w:rsidRPr="00797352">
              <w:rPr>
                <w:rStyle w:val="Hipercze"/>
                <w:noProof/>
              </w:rPr>
              <w:t>Cel operacyjny 1.4 Wzrost przedsiębiorczości</w:t>
            </w:r>
            <w:r>
              <w:rPr>
                <w:noProof/>
                <w:webHidden/>
              </w:rPr>
              <w:tab/>
            </w:r>
            <w:r>
              <w:rPr>
                <w:noProof/>
                <w:webHidden/>
              </w:rPr>
              <w:fldChar w:fldCharType="begin"/>
            </w:r>
            <w:r>
              <w:rPr>
                <w:noProof/>
                <w:webHidden/>
              </w:rPr>
              <w:instrText xml:space="preserve"> PAGEREF _Toc390759493 \h </w:instrText>
            </w:r>
            <w:r>
              <w:rPr>
                <w:noProof/>
                <w:webHidden/>
              </w:rPr>
            </w:r>
            <w:r>
              <w:rPr>
                <w:noProof/>
                <w:webHidden/>
              </w:rPr>
              <w:fldChar w:fldCharType="separate"/>
            </w:r>
            <w:r>
              <w:rPr>
                <w:noProof/>
                <w:webHidden/>
              </w:rPr>
              <w:t>22</w:t>
            </w:r>
            <w:r>
              <w:rPr>
                <w:noProof/>
                <w:webHidden/>
              </w:rPr>
              <w:fldChar w:fldCharType="end"/>
            </w:r>
          </w:hyperlink>
        </w:p>
        <w:p w:rsidR="00E502B3" w:rsidRDefault="00E502B3">
          <w:pPr>
            <w:pStyle w:val="Spistreci3"/>
            <w:tabs>
              <w:tab w:val="right" w:leader="dot" w:pos="9062"/>
            </w:tabs>
            <w:rPr>
              <w:rFonts w:eastAsiaTheme="minorEastAsia"/>
              <w:noProof/>
              <w:lang w:eastAsia="pl-PL"/>
            </w:rPr>
          </w:pPr>
          <w:hyperlink w:anchor="_Toc390759494" w:history="1">
            <w:r w:rsidRPr="00797352">
              <w:rPr>
                <w:rStyle w:val="Hipercze"/>
                <w:noProof/>
              </w:rPr>
              <w:t>1.4.1. System zachęt i ulg podatkowych dla przedsiębiorców</w:t>
            </w:r>
            <w:r>
              <w:rPr>
                <w:noProof/>
                <w:webHidden/>
              </w:rPr>
              <w:tab/>
            </w:r>
            <w:r>
              <w:rPr>
                <w:noProof/>
                <w:webHidden/>
              </w:rPr>
              <w:fldChar w:fldCharType="begin"/>
            </w:r>
            <w:r>
              <w:rPr>
                <w:noProof/>
                <w:webHidden/>
              </w:rPr>
              <w:instrText xml:space="preserve"> PAGEREF _Toc390759494 \h </w:instrText>
            </w:r>
            <w:r>
              <w:rPr>
                <w:noProof/>
                <w:webHidden/>
              </w:rPr>
            </w:r>
            <w:r>
              <w:rPr>
                <w:noProof/>
                <w:webHidden/>
              </w:rPr>
              <w:fldChar w:fldCharType="separate"/>
            </w:r>
            <w:r>
              <w:rPr>
                <w:noProof/>
                <w:webHidden/>
              </w:rPr>
              <w:t>22</w:t>
            </w:r>
            <w:r>
              <w:rPr>
                <w:noProof/>
                <w:webHidden/>
              </w:rPr>
              <w:fldChar w:fldCharType="end"/>
            </w:r>
          </w:hyperlink>
        </w:p>
        <w:p w:rsidR="00E502B3" w:rsidRDefault="00E502B3">
          <w:pPr>
            <w:pStyle w:val="Spistreci3"/>
            <w:tabs>
              <w:tab w:val="right" w:leader="dot" w:pos="9062"/>
            </w:tabs>
            <w:rPr>
              <w:rFonts w:eastAsiaTheme="minorEastAsia"/>
              <w:noProof/>
              <w:lang w:eastAsia="pl-PL"/>
            </w:rPr>
          </w:pPr>
          <w:hyperlink w:anchor="_Toc390759495" w:history="1">
            <w:r w:rsidRPr="00797352">
              <w:rPr>
                <w:rStyle w:val="Hipercze"/>
                <w:noProof/>
              </w:rPr>
              <w:t>1.4.2. Park NT centrum usług dla biznesu</w:t>
            </w:r>
            <w:r>
              <w:rPr>
                <w:noProof/>
                <w:webHidden/>
              </w:rPr>
              <w:tab/>
            </w:r>
            <w:r>
              <w:rPr>
                <w:noProof/>
                <w:webHidden/>
              </w:rPr>
              <w:fldChar w:fldCharType="begin"/>
            </w:r>
            <w:r>
              <w:rPr>
                <w:noProof/>
                <w:webHidden/>
              </w:rPr>
              <w:instrText xml:space="preserve"> PAGEREF _Toc390759495 \h </w:instrText>
            </w:r>
            <w:r>
              <w:rPr>
                <w:noProof/>
                <w:webHidden/>
              </w:rPr>
            </w:r>
            <w:r>
              <w:rPr>
                <w:noProof/>
                <w:webHidden/>
              </w:rPr>
              <w:fldChar w:fldCharType="separate"/>
            </w:r>
            <w:r>
              <w:rPr>
                <w:noProof/>
                <w:webHidden/>
              </w:rPr>
              <w:t>25</w:t>
            </w:r>
            <w:r>
              <w:rPr>
                <w:noProof/>
                <w:webHidden/>
              </w:rPr>
              <w:fldChar w:fldCharType="end"/>
            </w:r>
          </w:hyperlink>
        </w:p>
        <w:p w:rsidR="00E502B3" w:rsidRDefault="00E502B3">
          <w:pPr>
            <w:pStyle w:val="Spistreci3"/>
            <w:tabs>
              <w:tab w:val="right" w:leader="dot" w:pos="9062"/>
            </w:tabs>
            <w:rPr>
              <w:rFonts w:eastAsiaTheme="minorEastAsia"/>
              <w:noProof/>
              <w:lang w:eastAsia="pl-PL"/>
            </w:rPr>
          </w:pPr>
          <w:hyperlink w:anchor="_Toc390759496" w:history="1">
            <w:r w:rsidRPr="00797352">
              <w:rPr>
                <w:rStyle w:val="Hipercze"/>
                <w:noProof/>
              </w:rPr>
              <w:t>1.4.3. Kształtowanie postaw przedsiębiorczych</w:t>
            </w:r>
            <w:r>
              <w:rPr>
                <w:noProof/>
                <w:webHidden/>
              </w:rPr>
              <w:tab/>
            </w:r>
            <w:r>
              <w:rPr>
                <w:noProof/>
                <w:webHidden/>
              </w:rPr>
              <w:fldChar w:fldCharType="begin"/>
            </w:r>
            <w:r>
              <w:rPr>
                <w:noProof/>
                <w:webHidden/>
              </w:rPr>
              <w:instrText xml:space="preserve"> PAGEREF _Toc390759496 \h </w:instrText>
            </w:r>
            <w:r>
              <w:rPr>
                <w:noProof/>
                <w:webHidden/>
              </w:rPr>
            </w:r>
            <w:r>
              <w:rPr>
                <w:noProof/>
                <w:webHidden/>
              </w:rPr>
              <w:fldChar w:fldCharType="separate"/>
            </w:r>
            <w:r>
              <w:rPr>
                <w:noProof/>
                <w:webHidden/>
              </w:rPr>
              <w:t>29</w:t>
            </w:r>
            <w:r>
              <w:rPr>
                <w:noProof/>
                <w:webHidden/>
              </w:rPr>
              <w:fldChar w:fldCharType="end"/>
            </w:r>
          </w:hyperlink>
        </w:p>
        <w:p w:rsidR="00E502B3" w:rsidRDefault="00E502B3">
          <w:pPr>
            <w:pStyle w:val="Spistreci3"/>
            <w:tabs>
              <w:tab w:val="right" w:leader="dot" w:pos="9062"/>
            </w:tabs>
            <w:rPr>
              <w:rFonts w:eastAsiaTheme="minorEastAsia"/>
              <w:noProof/>
              <w:lang w:eastAsia="pl-PL"/>
            </w:rPr>
          </w:pPr>
          <w:hyperlink w:anchor="_Toc390759497" w:history="1">
            <w:r w:rsidRPr="00797352">
              <w:rPr>
                <w:rStyle w:val="Hipercze"/>
                <w:noProof/>
              </w:rPr>
              <w:t>1.4.4. Samorząd gospodarczy aktywnym partnerem władz miasta</w:t>
            </w:r>
            <w:r>
              <w:rPr>
                <w:noProof/>
                <w:webHidden/>
              </w:rPr>
              <w:tab/>
            </w:r>
            <w:r>
              <w:rPr>
                <w:noProof/>
                <w:webHidden/>
              </w:rPr>
              <w:fldChar w:fldCharType="begin"/>
            </w:r>
            <w:r>
              <w:rPr>
                <w:noProof/>
                <w:webHidden/>
              </w:rPr>
              <w:instrText xml:space="preserve"> PAGEREF _Toc390759497 \h </w:instrText>
            </w:r>
            <w:r>
              <w:rPr>
                <w:noProof/>
                <w:webHidden/>
              </w:rPr>
            </w:r>
            <w:r>
              <w:rPr>
                <w:noProof/>
                <w:webHidden/>
              </w:rPr>
              <w:fldChar w:fldCharType="separate"/>
            </w:r>
            <w:r>
              <w:rPr>
                <w:noProof/>
                <w:webHidden/>
              </w:rPr>
              <w:t>30</w:t>
            </w:r>
            <w:r>
              <w:rPr>
                <w:noProof/>
                <w:webHidden/>
              </w:rPr>
              <w:fldChar w:fldCharType="end"/>
            </w:r>
          </w:hyperlink>
        </w:p>
        <w:p w:rsidR="00E502B3" w:rsidRDefault="00E502B3">
          <w:pPr>
            <w:pStyle w:val="Spistreci3"/>
            <w:tabs>
              <w:tab w:val="right" w:leader="dot" w:pos="9062"/>
            </w:tabs>
            <w:rPr>
              <w:rFonts w:eastAsiaTheme="minorEastAsia"/>
              <w:noProof/>
              <w:lang w:eastAsia="pl-PL"/>
            </w:rPr>
          </w:pPr>
          <w:hyperlink w:anchor="_Toc390759498" w:history="1">
            <w:r w:rsidRPr="00797352">
              <w:rPr>
                <w:rStyle w:val="Hipercze"/>
                <w:noProof/>
              </w:rPr>
              <w:t>1.4.5. Polityka gospodarowania lokalami mieszkalnymi i użytkowymi</w:t>
            </w:r>
            <w:r>
              <w:rPr>
                <w:noProof/>
                <w:webHidden/>
              </w:rPr>
              <w:tab/>
            </w:r>
            <w:r>
              <w:rPr>
                <w:noProof/>
                <w:webHidden/>
              </w:rPr>
              <w:fldChar w:fldCharType="begin"/>
            </w:r>
            <w:r>
              <w:rPr>
                <w:noProof/>
                <w:webHidden/>
              </w:rPr>
              <w:instrText xml:space="preserve"> PAGEREF _Toc390759498 \h </w:instrText>
            </w:r>
            <w:r>
              <w:rPr>
                <w:noProof/>
                <w:webHidden/>
              </w:rPr>
            </w:r>
            <w:r>
              <w:rPr>
                <w:noProof/>
                <w:webHidden/>
              </w:rPr>
              <w:fldChar w:fldCharType="separate"/>
            </w:r>
            <w:r>
              <w:rPr>
                <w:noProof/>
                <w:webHidden/>
              </w:rPr>
              <w:t>31</w:t>
            </w:r>
            <w:r>
              <w:rPr>
                <w:noProof/>
                <w:webHidden/>
              </w:rPr>
              <w:fldChar w:fldCharType="end"/>
            </w:r>
          </w:hyperlink>
        </w:p>
        <w:p w:rsidR="00E502B3" w:rsidRDefault="00E502B3">
          <w:pPr>
            <w:pStyle w:val="Spistreci2"/>
            <w:tabs>
              <w:tab w:val="right" w:leader="dot" w:pos="9062"/>
            </w:tabs>
            <w:rPr>
              <w:rFonts w:eastAsiaTheme="minorEastAsia"/>
              <w:noProof/>
              <w:lang w:eastAsia="pl-PL"/>
            </w:rPr>
          </w:pPr>
          <w:hyperlink w:anchor="_Toc390759499" w:history="1">
            <w:r w:rsidRPr="00797352">
              <w:rPr>
                <w:rStyle w:val="Hipercze"/>
                <w:noProof/>
              </w:rPr>
              <w:t>Cel operacyjny 1.5 Wsparcie sektorów kluczowych dla Miasta</w:t>
            </w:r>
            <w:r>
              <w:rPr>
                <w:noProof/>
                <w:webHidden/>
              </w:rPr>
              <w:tab/>
            </w:r>
            <w:r>
              <w:rPr>
                <w:noProof/>
                <w:webHidden/>
              </w:rPr>
              <w:fldChar w:fldCharType="begin"/>
            </w:r>
            <w:r>
              <w:rPr>
                <w:noProof/>
                <w:webHidden/>
              </w:rPr>
              <w:instrText xml:space="preserve"> PAGEREF _Toc390759499 \h </w:instrText>
            </w:r>
            <w:r>
              <w:rPr>
                <w:noProof/>
                <w:webHidden/>
              </w:rPr>
            </w:r>
            <w:r>
              <w:rPr>
                <w:noProof/>
                <w:webHidden/>
              </w:rPr>
              <w:fldChar w:fldCharType="separate"/>
            </w:r>
            <w:r>
              <w:rPr>
                <w:noProof/>
                <w:webHidden/>
              </w:rPr>
              <w:t>32</w:t>
            </w:r>
            <w:r>
              <w:rPr>
                <w:noProof/>
                <w:webHidden/>
              </w:rPr>
              <w:fldChar w:fldCharType="end"/>
            </w:r>
          </w:hyperlink>
        </w:p>
        <w:p w:rsidR="00E502B3" w:rsidRDefault="00E502B3">
          <w:pPr>
            <w:pStyle w:val="Spistreci3"/>
            <w:tabs>
              <w:tab w:val="right" w:leader="dot" w:pos="9062"/>
            </w:tabs>
            <w:rPr>
              <w:rFonts w:eastAsiaTheme="minorEastAsia"/>
              <w:noProof/>
              <w:lang w:eastAsia="pl-PL"/>
            </w:rPr>
          </w:pPr>
          <w:hyperlink w:anchor="_Toc390759500" w:history="1">
            <w:r w:rsidRPr="00797352">
              <w:rPr>
                <w:rStyle w:val="Hipercze"/>
                <w:noProof/>
              </w:rPr>
              <w:t>1.5.1. Opracowanie programu kształcenia i wdrożenie kierunków nauczania dopasowanych do potrzeb sektorów kluczowych gospodarki Suwałk</w:t>
            </w:r>
            <w:r>
              <w:rPr>
                <w:noProof/>
                <w:webHidden/>
              </w:rPr>
              <w:tab/>
            </w:r>
            <w:r>
              <w:rPr>
                <w:noProof/>
                <w:webHidden/>
              </w:rPr>
              <w:fldChar w:fldCharType="begin"/>
            </w:r>
            <w:r>
              <w:rPr>
                <w:noProof/>
                <w:webHidden/>
              </w:rPr>
              <w:instrText xml:space="preserve"> PAGEREF _Toc390759500 \h </w:instrText>
            </w:r>
            <w:r>
              <w:rPr>
                <w:noProof/>
                <w:webHidden/>
              </w:rPr>
            </w:r>
            <w:r>
              <w:rPr>
                <w:noProof/>
                <w:webHidden/>
              </w:rPr>
              <w:fldChar w:fldCharType="separate"/>
            </w:r>
            <w:r>
              <w:rPr>
                <w:noProof/>
                <w:webHidden/>
              </w:rPr>
              <w:t>32</w:t>
            </w:r>
            <w:r>
              <w:rPr>
                <w:noProof/>
                <w:webHidden/>
              </w:rPr>
              <w:fldChar w:fldCharType="end"/>
            </w:r>
          </w:hyperlink>
        </w:p>
        <w:p w:rsidR="00E502B3" w:rsidRDefault="00E502B3">
          <w:pPr>
            <w:pStyle w:val="Spistreci3"/>
            <w:tabs>
              <w:tab w:val="right" w:leader="dot" w:pos="9062"/>
            </w:tabs>
            <w:rPr>
              <w:rFonts w:eastAsiaTheme="minorEastAsia"/>
              <w:noProof/>
              <w:lang w:eastAsia="pl-PL"/>
            </w:rPr>
          </w:pPr>
          <w:hyperlink w:anchor="_Toc390759501" w:history="1">
            <w:r w:rsidRPr="00797352">
              <w:rPr>
                <w:rStyle w:val="Hipercze"/>
                <w:noProof/>
              </w:rPr>
              <w:t>1.5.2. Wsparcie firm z sektora MICE  - Suwałki rozpoznawalnym centrum kongresowym</w:t>
            </w:r>
            <w:r>
              <w:rPr>
                <w:noProof/>
                <w:webHidden/>
              </w:rPr>
              <w:tab/>
            </w:r>
            <w:r>
              <w:rPr>
                <w:noProof/>
                <w:webHidden/>
              </w:rPr>
              <w:fldChar w:fldCharType="begin"/>
            </w:r>
            <w:r>
              <w:rPr>
                <w:noProof/>
                <w:webHidden/>
              </w:rPr>
              <w:instrText xml:space="preserve"> PAGEREF _Toc390759501 \h </w:instrText>
            </w:r>
            <w:r>
              <w:rPr>
                <w:noProof/>
                <w:webHidden/>
              </w:rPr>
            </w:r>
            <w:r>
              <w:rPr>
                <w:noProof/>
                <w:webHidden/>
              </w:rPr>
              <w:fldChar w:fldCharType="separate"/>
            </w:r>
            <w:r>
              <w:rPr>
                <w:noProof/>
                <w:webHidden/>
              </w:rPr>
              <w:t>34</w:t>
            </w:r>
            <w:r>
              <w:rPr>
                <w:noProof/>
                <w:webHidden/>
              </w:rPr>
              <w:fldChar w:fldCharType="end"/>
            </w:r>
          </w:hyperlink>
        </w:p>
        <w:p w:rsidR="00E502B3" w:rsidRDefault="00E502B3">
          <w:pPr>
            <w:pStyle w:val="Spistreci3"/>
            <w:tabs>
              <w:tab w:val="right" w:leader="dot" w:pos="9062"/>
            </w:tabs>
            <w:rPr>
              <w:rFonts w:eastAsiaTheme="minorEastAsia"/>
              <w:noProof/>
              <w:lang w:eastAsia="pl-PL"/>
            </w:rPr>
          </w:pPr>
          <w:hyperlink w:anchor="_Toc390759502" w:history="1">
            <w:r w:rsidRPr="00797352">
              <w:rPr>
                <w:rStyle w:val="Hipercze"/>
                <w:noProof/>
              </w:rPr>
              <w:t>1.5.3. Działania promocyjne</w:t>
            </w:r>
            <w:r>
              <w:rPr>
                <w:noProof/>
                <w:webHidden/>
              </w:rPr>
              <w:tab/>
            </w:r>
            <w:r>
              <w:rPr>
                <w:noProof/>
                <w:webHidden/>
              </w:rPr>
              <w:fldChar w:fldCharType="begin"/>
            </w:r>
            <w:r>
              <w:rPr>
                <w:noProof/>
                <w:webHidden/>
              </w:rPr>
              <w:instrText xml:space="preserve"> PAGEREF _Toc390759502 \h </w:instrText>
            </w:r>
            <w:r>
              <w:rPr>
                <w:noProof/>
                <w:webHidden/>
              </w:rPr>
            </w:r>
            <w:r>
              <w:rPr>
                <w:noProof/>
                <w:webHidden/>
              </w:rPr>
              <w:fldChar w:fldCharType="separate"/>
            </w:r>
            <w:r>
              <w:rPr>
                <w:noProof/>
                <w:webHidden/>
              </w:rPr>
              <w:t>35</w:t>
            </w:r>
            <w:r>
              <w:rPr>
                <w:noProof/>
                <w:webHidden/>
              </w:rPr>
              <w:fldChar w:fldCharType="end"/>
            </w:r>
          </w:hyperlink>
        </w:p>
        <w:p w:rsidR="00E502B3" w:rsidRDefault="00E502B3">
          <w:pPr>
            <w:pStyle w:val="Spistreci1"/>
            <w:tabs>
              <w:tab w:val="left" w:pos="440"/>
              <w:tab w:val="right" w:leader="dot" w:pos="9062"/>
            </w:tabs>
            <w:rPr>
              <w:rFonts w:eastAsiaTheme="minorEastAsia"/>
              <w:noProof/>
              <w:lang w:eastAsia="pl-PL"/>
            </w:rPr>
          </w:pPr>
          <w:hyperlink w:anchor="_Toc390759503" w:history="1">
            <w:r w:rsidRPr="00797352">
              <w:rPr>
                <w:rStyle w:val="Hipercze"/>
                <w:noProof/>
              </w:rPr>
              <w:t>5.</w:t>
            </w:r>
            <w:r>
              <w:rPr>
                <w:rFonts w:eastAsiaTheme="minorEastAsia"/>
                <w:noProof/>
                <w:lang w:eastAsia="pl-PL"/>
              </w:rPr>
              <w:tab/>
            </w:r>
            <w:r w:rsidRPr="00797352">
              <w:rPr>
                <w:rStyle w:val="Hipercze"/>
                <w:noProof/>
              </w:rPr>
              <w:t>Zasady monitoringu oraz oceny programu</w:t>
            </w:r>
            <w:r>
              <w:rPr>
                <w:noProof/>
                <w:webHidden/>
              </w:rPr>
              <w:tab/>
            </w:r>
            <w:r>
              <w:rPr>
                <w:noProof/>
                <w:webHidden/>
              </w:rPr>
              <w:fldChar w:fldCharType="begin"/>
            </w:r>
            <w:r>
              <w:rPr>
                <w:noProof/>
                <w:webHidden/>
              </w:rPr>
              <w:instrText xml:space="preserve"> PAGEREF _Toc390759503 \h </w:instrText>
            </w:r>
            <w:r>
              <w:rPr>
                <w:noProof/>
                <w:webHidden/>
              </w:rPr>
            </w:r>
            <w:r>
              <w:rPr>
                <w:noProof/>
                <w:webHidden/>
              </w:rPr>
              <w:fldChar w:fldCharType="separate"/>
            </w:r>
            <w:r>
              <w:rPr>
                <w:noProof/>
                <w:webHidden/>
              </w:rPr>
              <w:t>37</w:t>
            </w:r>
            <w:r>
              <w:rPr>
                <w:noProof/>
                <w:webHidden/>
              </w:rPr>
              <w:fldChar w:fldCharType="end"/>
            </w:r>
          </w:hyperlink>
        </w:p>
        <w:p w:rsidR="00685C1D" w:rsidRDefault="00654193" w:rsidP="00685C1D">
          <w:r>
            <w:fldChar w:fldCharType="end"/>
          </w:r>
        </w:p>
      </w:sdtContent>
    </w:sdt>
    <w:p w:rsidR="00D46446" w:rsidRDefault="00D46446" w:rsidP="00685C1D">
      <w:pPr>
        <w:pStyle w:val="Nagwek1"/>
      </w:pPr>
    </w:p>
    <w:p w:rsidR="00D46446" w:rsidRDefault="00D46446" w:rsidP="00685C1D">
      <w:pPr>
        <w:pStyle w:val="Nagwek1"/>
      </w:pPr>
    </w:p>
    <w:p w:rsidR="00D46446" w:rsidRDefault="00D46446" w:rsidP="00685C1D">
      <w:pPr>
        <w:pStyle w:val="Nagwek1"/>
      </w:pPr>
    </w:p>
    <w:p w:rsidR="00D46446" w:rsidRDefault="00D46446" w:rsidP="00685C1D">
      <w:pPr>
        <w:pStyle w:val="Nagwek1"/>
      </w:pPr>
    </w:p>
    <w:p w:rsidR="00D46446" w:rsidRDefault="00D46446" w:rsidP="00685C1D">
      <w:pPr>
        <w:pStyle w:val="Nagwek1"/>
      </w:pPr>
    </w:p>
    <w:p w:rsidR="00D46446" w:rsidRDefault="00D46446" w:rsidP="00685C1D">
      <w:pPr>
        <w:pStyle w:val="Nagwek1"/>
      </w:pPr>
    </w:p>
    <w:p w:rsidR="00D46446" w:rsidRDefault="00D46446" w:rsidP="00685C1D">
      <w:pPr>
        <w:pStyle w:val="Nagwek1"/>
      </w:pPr>
    </w:p>
    <w:p w:rsidR="00D46446" w:rsidRDefault="00D46446" w:rsidP="00685C1D">
      <w:pPr>
        <w:pStyle w:val="Nagwek1"/>
      </w:pPr>
    </w:p>
    <w:p w:rsidR="00D46446" w:rsidRDefault="00D46446" w:rsidP="00685C1D">
      <w:pPr>
        <w:pStyle w:val="Nagwek1"/>
      </w:pPr>
    </w:p>
    <w:p w:rsidR="00D46446" w:rsidRDefault="00D46446" w:rsidP="00685C1D">
      <w:pPr>
        <w:pStyle w:val="Nagwek1"/>
      </w:pPr>
    </w:p>
    <w:p w:rsidR="00D46446" w:rsidRDefault="00D46446" w:rsidP="00685C1D">
      <w:pPr>
        <w:pStyle w:val="Nagwek1"/>
      </w:pPr>
    </w:p>
    <w:p w:rsidR="00D46446" w:rsidRPr="00D46446" w:rsidRDefault="00D46446" w:rsidP="00D46446"/>
    <w:p w:rsidR="008D6BFB" w:rsidRDefault="008D6BFB" w:rsidP="00685C1D">
      <w:pPr>
        <w:pStyle w:val="Nagwek1"/>
      </w:pPr>
      <w:bookmarkStart w:id="0" w:name="_Toc390759466"/>
      <w:r>
        <w:t>Wykaz skrótów:</w:t>
      </w:r>
      <w:bookmarkEnd w:id="0"/>
    </w:p>
    <w:tbl>
      <w:tblPr>
        <w:tblW w:w="10107" w:type="dxa"/>
        <w:tblInd w:w="57" w:type="dxa"/>
        <w:tblCellMar>
          <w:left w:w="70" w:type="dxa"/>
          <w:right w:w="70" w:type="dxa"/>
        </w:tblCellMar>
        <w:tblLook w:val="04A0"/>
      </w:tblPr>
      <w:tblGrid>
        <w:gridCol w:w="1147"/>
        <w:gridCol w:w="8960"/>
      </w:tblGrid>
      <w:tr w:rsidR="00727181" w:rsidRPr="00AD4E86" w:rsidTr="00AD6802">
        <w:trPr>
          <w:trHeight w:val="480"/>
        </w:trPr>
        <w:tc>
          <w:tcPr>
            <w:tcW w:w="1147" w:type="dxa"/>
            <w:tcBorders>
              <w:top w:val="single" w:sz="8" w:space="0" w:color="4F81BD"/>
              <w:left w:val="single" w:sz="8" w:space="0" w:color="4F81BD"/>
              <w:bottom w:val="nil"/>
              <w:right w:val="nil"/>
            </w:tcBorders>
            <w:shd w:val="clear" w:color="000000" w:fill="4F81BD"/>
            <w:hideMark/>
          </w:tcPr>
          <w:p w:rsidR="00727181" w:rsidRPr="00AD4E86" w:rsidRDefault="00727181" w:rsidP="00AD6802">
            <w:pPr>
              <w:spacing w:after="0" w:line="240" w:lineRule="auto"/>
              <w:rPr>
                <w:rFonts w:ascii="Cambria" w:eastAsia="Times New Roman" w:hAnsi="Cambria" w:cs="Arial"/>
                <w:b/>
                <w:bCs/>
                <w:color w:val="FFFFFF"/>
                <w:sz w:val="20"/>
                <w:szCs w:val="20"/>
                <w:lang w:eastAsia="pl-PL"/>
              </w:rPr>
            </w:pPr>
            <w:r w:rsidRPr="00AD4E86">
              <w:rPr>
                <w:rFonts w:ascii="Cambria" w:eastAsia="Times New Roman" w:hAnsi="Cambria" w:cs="Arial"/>
                <w:b/>
                <w:bCs/>
                <w:color w:val="FFFFFF"/>
                <w:sz w:val="20"/>
                <w:szCs w:val="20"/>
                <w:lang w:eastAsia="pl-PL"/>
              </w:rPr>
              <w:t>Skrót</w:t>
            </w:r>
          </w:p>
        </w:tc>
        <w:tc>
          <w:tcPr>
            <w:tcW w:w="8960" w:type="dxa"/>
            <w:tcBorders>
              <w:top w:val="single" w:sz="8" w:space="0" w:color="4F81BD"/>
              <w:left w:val="nil"/>
              <w:bottom w:val="nil"/>
              <w:right w:val="single" w:sz="8" w:space="0" w:color="4F81BD"/>
            </w:tcBorders>
            <w:shd w:val="clear" w:color="000000" w:fill="4F81BD"/>
            <w:hideMark/>
          </w:tcPr>
          <w:p w:rsidR="00727181" w:rsidRPr="00AD4E86" w:rsidRDefault="00727181" w:rsidP="00AD6802">
            <w:pPr>
              <w:spacing w:after="0" w:line="240" w:lineRule="auto"/>
              <w:rPr>
                <w:rFonts w:ascii="Cambria" w:eastAsia="Times New Roman" w:hAnsi="Cambria" w:cs="Arial"/>
                <w:b/>
                <w:bCs/>
                <w:color w:val="FFFFFF"/>
                <w:sz w:val="20"/>
                <w:szCs w:val="20"/>
                <w:lang w:eastAsia="pl-PL"/>
              </w:rPr>
            </w:pPr>
            <w:r w:rsidRPr="00AD4E86">
              <w:rPr>
                <w:rFonts w:ascii="Cambria" w:eastAsia="Times New Roman" w:hAnsi="Cambria" w:cs="Arial"/>
                <w:b/>
                <w:bCs/>
                <w:color w:val="FFFFFF"/>
                <w:sz w:val="20"/>
                <w:szCs w:val="20"/>
                <w:lang w:eastAsia="pl-PL"/>
              </w:rPr>
              <w:t>Rozwinięcie</w:t>
            </w:r>
          </w:p>
        </w:tc>
      </w:tr>
      <w:tr w:rsidR="00727181" w:rsidRPr="00AD4E86" w:rsidTr="00AD6802">
        <w:trPr>
          <w:trHeight w:val="480"/>
        </w:trPr>
        <w:tc>
          <w:tcPr>
            <w:tcW w:w="1147" w:type="dxa"/>
            <w:tcBorders>
              <w:top w:val="single" w:sz="8" w:space="0" w:color="4F81BD"/>
              <w:left w:val="single" w:sz="8" w:space="0" w:color="4F81BD"/>
              <w:bottom w:val="single" w:sz="8" w:space="0" w:color="4F81BD"/>
              <w:right w:val="nil"/>
            </w:tcBorders>
            <w:shd w:val="clear" w:color="auto" w:fill="auto"/>
            <w:hideMark/>
          </w:tcPr>
          <w:p w:rsidR="00727181" w:rsidRPr="00AD4E86" w:rsidRDefault="00727181" w:rsidP="00AD6802">
            <w:pPr>
              <w:spacing w:after="0" w:line="240" w:lineRule="auto"/>
              <w:rPr>
                <w:rFonts w:ascii="Cambria" w:eastAsia="Times New Roman" w:hAnsi="Cambria" w:cs="Arial"/>
                <w:b/>
                <w:bCs/>
                <w:color w:val="000000"/>
                <w:sz w:val="20"/>
                <w:szCs w:val="20"/>
                <w:lang w:eastAsia="pl-PL"/>
              </w:rPr>
            </w:pPr>
            <w:r w:rsidRPr="00AD4E86">
              <w:rPr>
                <w:rFonts w:ascii="Cambria" w:eastAsia="Times New Roman" w:hAnsi="Cambria" w:cs="Arial"/>
                <w:b/>
                <w:bCs/>
                <w:color w:val="000000"/>
                <w:sz w:val="20"/>
                <w:szCs w:val="20"/>
                <w:lang w:eastAsia="pl-PL"/>
              </w:rPr>
              <w:t>AGP</w:t>
            </w:r>
          </w:p>
        </w:tc>
        <w:tc>
          <w:tcPr>
            <w:tcW w:w="8960" w:type="dxa"/>
            <w:tcBorders>
              <w:top w:val="single" w:sz="8" w:space="0" w:color="4F81BD"/>
              <w:left w:val="nil"/>
              <w:bottom w:val="single" w:sz="8" w:space="0" w:color="4F81BD"/>
              <w:right w:val="single" w:sz="8" w:space="0" w:color="4F81BD"/>
            </w:tcBorders>
            <w:shd w:val="clear" w:color="auto" w:fill="auto"/>
            <w:hideMark/>
          </w:tcPr>
          <w:p w:rsidR="00727181" w:rsidRPr="00AD4E86" w:rsidRDefault="00727181" w:rsidP="00AD6802">
            <w:pPr>
              <w:spacing w:after="0" w:line="240" w:lineRule="auto"/>
              <w:rPr>
                <w:rFonts w:ascii="Cambria" w:eastAsia="Times New Roman" w:hAnsi="Cambria" w:cs="Arial"/>
                <w:color w:val="000000"/>
                <w:sz w:val="20"/>
                <w:szCs w:val="20"/>
                <w:lang w:eastAsia="pl-PL"/>
              </w:rPr>
            </w:pPr>
            <w:r w:rsidRPr="00AD4E86">
              <w:rPr>
                <w:rFonts w:ascii="Cambria" w:eastAsia="Times New Roman" w:hAnsi="Cambria" w:cs="Arial"/>
                <w:color w:val="000000"/>
                <w:sz w:val="20"/>
                <w:szCs w:val="20"/>
                <w:lang w:eastAsia="pl-PL"/>
              </w:rPr>
              <w:t xml:space="preserve">Wydział Architektury i Gospodarki Przestrzennej Urzędu Miejskiego w Suwałkach </w:t>
            </w:r>
          </w:p>
        </w:tc>
      </w:tr>
      <w:tr w:rsidR="00E502B3" w:rsidRPr="00AD4E86" w:rsidTr="00AD6802">
        <w:trPr>
          <w:trHeight w:val="480"/>
        </w:trPr>
        <w:tc>
          <w:tcPr>
            <w:tcW w:w="1147" w:type="dxa"/>
            <w:tcBorders>
              <w:top w:val="nil"/>
              <w:left w:val="single" w:sz="8" w:space="0" w:color="4F81BD"/>
              <w:bottom w:val="single" w:sz="8" w:space="0" w:color="4F81BD"/>
              <w:right w:val="nil"/>
            </w:tcBorders>
            <w:shd w:val="clear" w:color="auto" w:fill="auto"/>
            <w:hideMark/>
          </w:tcPr>
          <w:p w:rsidR="00E502B3" w:rsidRPr="00AD4E86" w:rsidRDefault="00E502B3" w:rsidP="00AD6802">
            <w:pPr>
              <w:spacing w:after="0" w:line="240" w:lineRule="auto"/>
              <w:rPr>
                <w:rFonts w:ascii="Cambria" w:eastAsia="Times New Roman" w:hAnsi="Cambria" w:cs="Arial"/>
                <w:b/>
                <w:bCs/>
                <w:color w:val="000000"/>
                <w:sz w:val="20"/>
                <w:szCs w:val="20"/>
                <w:lang w:eastAsia="pl-PL"/>
              </w:rPr>
            </w:pPr>
            <w:r>
              <w:rPr>
                <w:rFonts w:ascii="Cambria" w:eastAsia="Times New Roman" w:hAnsi="Cambria" w:cs="Arial"/>
                <w:b/>
                <w:bCs/>
                <w:color w:val="000000"/>
                <w:sz w:val="20"/>
                <w:szCs w:val="20"/>
                <w:lang w:eastAsia="pl-PL"/>
              </w:rPr>
              <w:t>FN</w:t>
            </w:r>
          </w:p>
        </w:tc>
        <w:tc>
          <w:tcPr>
            <w:tcW w:w="8960" w:type="dxa"/>
            <w:tcBorders>
              <w:top w:val="nil"/>
              <w:left w:val="nil"/>
              <w:bottom w:val="single" w:sz="8" w:space="0" w:color="4F81BD"/>
              <w:right w:val="single" w:sz="8" w:space="0" w:color="4F81BD"/>
            </w:tcBorders>
            <w:shd w:val="clear" w:color="auto" w:fill="auto"/>
            <w:hideMark/>
          </w:tcPr>
          <w:p w:rsidR="00E502B3" w:rsidRPr="00AD4E86" w:rsidRDefault="00E502B3" w:rsidP="00AD6802">
            <w:pPr>
              <w:spacing w:after="0" w:line="240" w:lineRule="auto"/>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Wydział Finansów</w:t>
            </w:r>
            <w:r w:rsidRPr="00AD4E86">
              <w:rPr>
                <w:rFonts w:ascii="Cambria" w:eastAsia="Times New Roman" w:hAnsi="Cambria" w:cs="Arial"/>
                <w:color w:val="000000"/>
                <w:sz w:val="20"/>
                <w:szCs w:val="20"/>
                <w:lang w:eastAsia="pl-PL"/>
              </w:rPr>
              <w:t xml:space="preserve"> Urzędu Miejskiego w Suwałkach</w:t>
            </w:r>
          </w:p>
        </w:tc>
      </w:tr>
      <w:tr w:rsidR="00727181" w:rsidRPr="00AD4E86" w:rsidTr="00AD6802">
        <w:trPr>
          <w:trHeight w:val="480"/>
        </w:trPr>
        <w:tc>
          <w:tcPr>
            <w:tcW w:w="1147" w:type="dxa"/>
            <w:tcBorders>
              <w:top w:val="nil"/>
              <w:left w:val="single" w:sz="8" w:space="0" w:color="4F81BD"/>
              <w:bottom w:val="single" w:sz="8" w:space="0" w:color="4F81BD"/>
              <w:right w:val="nil"/>
            </w:tcBorders>
            <w:shd w:val="clear" w:color="auto" w:fill="auto"/>
            <w:hideMark/>
          </w:tcPr>
          <w:p w:rsidR="00727181" w:rsidRPr="00AD4E86" w:rsidRDefault="00727181" w:rsidP="00AD6802">
            <w:pPr>
              <w:spacing w:after="0" w:line="240" w:lineRule="auto"/>
              <w:rPr>
                <w:rFonts w:ascii="Cambria" w:eastAsia="Times New Roman" w:hAnsi="Cambria" w:cs="Arial"/>
                <w:b/>
                <w:bCs/>
                <w:color w:val="000000"/>
                <w:sz w:val="20"/>
                <w:szCs w:val="20"/>
                <w:lang w:eastAsia="pl-PL"/>
              </w:rPr>
            </w:pPr>
            <w:r w:rsidRPr="00AD4E86">
              <w:rPr>
                <w:rFonts w:ascii="Cambria" w:eastAsia="Times New Roman" w:hAnsi="Cambria" w:cs="Arial"/>
                <w:b/>
                <w:bCs/>
                <w:color w:val="000000"/>
                <w:sz w:val="20"/>
                <w:szCs w:val="20"/>
                <w:lang w:eastAsia="pl-PL"/>
              </w:rPr>
              <w:t>I</w:t>
            </w:r>
          </w:p>
        </w:tc>
        <w:tc>
          <w:tcPr>
            <w:tcW w:w="8960" w:type="dxa"/>
            <w:tcBorders>
              <w:top w:val="nil"/>
              <w:left w:val="nil"/>
              <w:bottom w:val="single" w:sz="8" w:space="0" w:color="4F81BD"/>
              <w:right w:val="single" w:sz="8" w:space="0" w:color="4F81BD"/>
            </w:tcBorders>
            <w:shd w:val="clear" w:color="auto" w:fill="auto"/>
            <w:hideMark/>
          </w:tcPr>
          <w:p w:rsidR="00727181" w:rsidRPr="00AD4E86" w:rsidRDefault="00727181" w:rsidP="00AD6802">
            <w:pPr>
              <w:spacing w:after="0" w:line="240" w:lineRule="auto"/>
              <w:rPr>
                <w:rFonts w:ascii="Cambria" w:eastAsia="Times New Roman" w:hAnsi="Cambria" w:cs="Arial"/>
                <w:color w:val="000000"/>
                <w:sz w:val="20"/>
                <w:szCs w:val="20"/>
                <w:lang w:eastAsia="pl-PL"/>
              </w:rPr>
            </w:pPr>
            <w:r w:rsidRPr="00AD4E86">
              <w:rPr>
                <w:rFonts w:ascii="Cambria" w:eastAsia="Times New Roman" w:hAnsi="Cambria" w:cs="Arial"/>
                <w:color w:val="000000"/>
                <w:sz w:val="20"/>
                <w:szCs w:val="20"/>
                <w:lang w:eastAsia="pl-PL"/>
              </w:rPr>
              <w:t xml:space="preserve">Wydział Inwestycji Urzędu Miejskiego w Suwałkach </w:t>
            </w:r>
          </w:p>
        </w:tc>
      </w:tr>
      <w:tr w:rsidR="00727181" w:rsidRPr="00AD4E86" w:rsidTr="00AD6802">
        <w:trPr>
          <w:trHeight w:val="480"/>
        </w:trPr>
        <w:tc>
          <w:tcPr>
            <w:tcW w:w="1147" w:type="dxa"/>
            <w:tcBorders>
              <w:top w:val="nil"/>
              <w:left w:val="single" w:sz="8" w:space="0" w:color="4F81BD"/>
              <w:bottom w:val="nil"/>
              <w:right w:val="nil"/>
            </w:tcBorders>
            <w:shd w:val="clear" w:color="auto" w:fill="auto"/>
            <w:hideMark/>
          </w:tcPr>
          <w:p w:rsidR="00727181" w:rsidRPr="00AD4E86" w:rsidRDefault="00727181" w:rsidP="00AD6802">
            <w:pPr>
              <w:spacing w:after="0" w:line="240" w:lineRule="auto"/>
              <w:rPr>
                <w:rFonts w:ascii="Cambria" w:eastAsia="Times New Roman" w:hAnsi="Cambria" w:cs="Arial"/>
                <w:b/>
                <w:bCs/>
                <w:color w:val="000000"/>
                <w:sz w:val="20"/>
                <w:szCs w:val="20"/>
                <w:lang w:eastAsia="pl-PL"/>
              </w:rPr>
            </w:pPr>
            <w:r w:rsidRPr="00AD4E86">
              <w:rPr>
                <w:rFonts w:ascii="Cambria" w:eastAsia="Times New Roman" w:hAnsi="Cambria" w:cs="Arial"/>
                <w:b/>
                <w:bCs/>
                <w:color w:val="000000"/>
                <w:sz w:val="20"/>
                <w:szCs w:val="20"/>
                <w:lang w:eastAsia="pl-PL"/>
              </w:rPr>
              <w:t>In</w:t>
            </w:r>
          </w:p>
        </w:tc>
        <w:tc>
          <w:tcPr>
            <w:tcW w:w="8960" w:type="dxa"/>
            <w:tcBorders>
              <w:top w:val="nil"/>
              <w:left w:val="nil"/>
              <w:bottom w:val="nil"/>
              <w:right w:val="single" w:sz="8" w:space="0" w:color="4F81BD"/>
            </w:tcBorders>
            <w:shd w:val="clear" w:color="auto" w:fill="auto"/>
            <w:hideMark/>
          </w:tcPr>
          <w:p w:rsidR="00727181" w:rsidRPr="00AD4E86" w:rsidRDefault="00727181" w:rsidP="00AD6802">
            <w:pPr>
              <w:spacing w:after="0" w:line="240" w:lineRule="auto"/>
              <w:rPr>
                <w:rFonts w:ascii="Cambria" w:eastAsia="Times New Roman" w:hAnsi="Cambria" w:cs="Arial"/>
                <w:color w:val="000000"/>
                <w:sz w:val="20"/>
                <w:szCs w:val="20"/>
                <w:lang w:eastAsia="pl-PL"/>
              </w:rPr>
            </w:pPr>
            <w:r w:rsidRPr="00AD4E86">
              <w:rPr>
                <w:rFonts w:ascii="Cambria" w:eastAsia="Times New Roman" w:hAnsi="Cambria" w:cs="Arial"/>
                <w:color w:val="000000"/>
                <w:sz w:val="20"/>
                <w:szCs w:val="20"/>
                <w:lang w:eastAsia="pl-PL"/>
              </w:rPr>
              <w:t>Wydział Informatyki Urzędu Miejskiego w Suwałkach</w:t>
            </w:r>
          </w:p>
        </w:tc>
      </w:tr>
      <w:tr w:rsidR="00727181" w:rsidRPr="00AD4E86" w:rsidTr="00AD6802">
        <w:trPr>
          <w:trHeight w:val="405"/>
        </w:trPr>
        <w:tc>
          <w:tcPr>
            <w:tcW w:w="1147" w:type="dxa"/>
            <w:tcBorders>
              <w:top w:val="single" w:sz="8" w:space="0" w:color="4F81BD"/>
              <w:left w:val="single" w:sz="8" w:space="0" w:color="4F81BD"/>
              <w:bottom w:val="single" w:sz="8" w:space="0" w:color="4F81BD"/>
              <w:right w:val="nil"/>
            </w:tcBorders>
            <w:shd w:val="clear" w:color="auto" w:fill="auto"/>
            <w:hideMark/>
          </w:tcPr>
          <w:p w:rsidR="00727181" w:rsidRPr="00AD4E86" w:rsidRDefault="00C54F4C" w:rsidP="00AD6802">
            <w:pPr>
              <w:spacing w:after="0" w:line="240" w:lineRule="auto"/>
              <w:rPr>
                <w:rFonts w:ascii="Cambria" w:eastAsia="Times New Roman" w:hAnsi="Cambria" w:cs="Arial"/>
                <w:b/>
                <w:bCs/>
                <w:color w:val="000000"/>
                <w:sz w:val="20"/>
                <w:szCs w:val="20"/>
                <w:lang w:eastAsia="pl-PL"/>
              </w:rPr>
            </w:pPr>
            <w:r>
              <w:rPr>
                <w:rFonts w:ascii="Cambria" w:eastAsia="Times New Roman" w:hAnsi="Cambria" w:cs="Arial"/>
                <w:b/>
                <w:bCs/>
                <w:color w:val="000000"/>
                <w:sz w:val="20"/>
                <w:szCs w:val="20"/>
                <w:lang w:eastAsia="pl-PL"/>
              </w:rPr>
              <w:t>KT</w:t>
            </w:r>
            <w:r w:rsidR="00727181" w:rsidRPr="00AD4E86">
              <w:rPr>
                <w:rFonts w:ascii="Cambria" w:eastAsia="Times New Roman" w:hAnsi="Cambria" w:cs="Arial"/>
                <w:b/>
                <w:bCs/>
                <w:color w:val="000000"/>
                <w:sz w:val="20"/>
                <w:szCs w:val="20"/>
                <w:lang w:eastAsia="pl-PL"/>
              </w:rPr>
              <w:t>Z</w:t>
            </w:r>
          </w:p>
        </w:tc>
        <w:tc>
          <w:tcPr>
            <w:tcW w:w="8960" w:type="dxa"/>
            <w:tcBorders>
              <w:top w:val="single" w:sz="8" w:space="0" w:color="4F81BD"/>
              <w:left w:val="nil"/>
              <w:bottom w:val="single" w:sz="8" w:space="0" w:color="4F81BD"/>
              <w:right w:val="single" w:sz="8" w:space="0" w:color="4F81BD"/>
            </w:tcBorders>
            <w:shd w:val="clear" w:color="auto" w:fill="auto"/>
            <w:hideMark/>
          </w:tcPr>
          <w:p w:rsidR="00727181" w:rsidRPr="00AD4E86" w:rsidRDefault="00727181" w:rsidP="00AD6802">
            <w:pPr>
              <w:spacing w:after="0" w:line="240" w:lineRule="auto"/>
              <w:rPr>
                <w:rFonts w:ascii="Cambria" w:eastAsia="Times New Roman" w:hAnsi="Cambria" w:cs="Arial"/>
                <w:color w:val="000000"/>
                <w:sz w:val="20"/>
                <w:szCs w:val="20"/>
                <w:lang w:eastAsia="pl-PL"/>
              </w:rPr>
            </w:pPr>
            <w:r w:rsidRPr="00AD4E86">
              <w:rPr>
                <w:rFonts w:ascii="Cambria" w:eastAsia="Times New Roman" w:hAnsi="Cambria" w:cs="Arial"/>
                <w:color w:val="000000"/>
                <w:sz w:val="20"/>
                <w:szCs w:val="20"/>
                <w:lang w:eastAsia="pl-PL"/>
              </w:rPr>
              <w:t xml:space="preserve">Wydział Kultury, </w:t>
            </w:r>
            <w:r w:rsidR="00C54F4C">
              <w:rPr>
                <w:rFonts w:ascii="Cambria" w:eastAsia="Times New Roman" w:hAnsi="Cambria" w:cs="Arial"/>
                <w:color w:val="000000"/>
                <w:sz w:val="20"/>
                <w:szCs w:val="20"/>
                <w:lang w:eastAsia="pl-PL"/>
              </w:rPr>
              <w:t xml:space="preserve">Turystyki i </w:t>
            </w:r>
            <w:r w:rsidRPr="00AD4E86">
              <w:rPr>
                <w:rFonts w:ascii="Cambria" w:eastAsia="Times New Roman" w:hAnsi="Cambria" w:cs="Arial"/>
                <w:color w:val="000000"/>
                <w:sz w:val="20"/>
                <w:szCs w:val="20"/>
                <w:lang w:eastAsia="pl-PL"/>
              </w:rPr>
              <w:t>Ochrony Zabytków Urzędu Miejskiego w Suwałkach</w:t>
            </w:r>
          </w:p>
        </w:tc>
      </w:tr>
      <w:tr w:rsidR="00727181" w:rsidRPr="00AD4E86" w:rsidTr="00AD6802">
        <w:trPr>
          <w:trHeight w:val="405"/>
        </w:trPr>
        <w:tc>
          <w:tcPr>
            <w:tcW w:w="1147" w:type="dxa"/>
            <w:tcBorders>
              <w:top w:val="nil"/>
              <w:left w:val="single" w:sz="8" w:space="0" w:color="4F81BD"/>
              <w:bottom w:val="single" w:sz="8" w:space="0" w:color="4F81BD"/>
              <w:right w:val="nil"/>
            </w:tcBorders>
            <w:shd w:val="clear" w:color="auto" w:fill="auto"/>
            <w:hideMark/>
          </w:tcPr>
          <w:p w:rsidR="00727181" w:rsidRPr="00AD4E86" w:rsidRDefault="00727181" w:rsidP="00AD6802">
            <w:pPr>
              <w:spacing w:after="0" w:line="240" w:lineRule="auto"/>
              <w:rPr>
                <w:rFonts w:ascii="Cambria" w:eastAsia="Times New Roman" w:hAnsi="Cambria" w:cs="Arial"/>
                <w:b/>
                <w:bCs/>
                <w:color w:val="000000"/>
                <w:sz w:val="20"/>
                <w:szCs w:val="20"/>
                <w:lang w:eastAsia="pl-PL"/>
              </w:rPr>
            </w:pPr>
            <w:r w:rsidRPr="00AD4E86">
              <w:rPr>
                <w:rFonts w:ascii="Cambria" w:eastAsia="Times New Roman" w:hAnsi="Cambria" w:cs="Arial"/>
                <w:b/>
                <w:bCs/>
                <w:color w:val="000000"/>
                <w:sz w:val="20"/>
                <w:szCs w:val="20"/>
                <w:lang w:eastAsia="pl-PL"/>
              </w:rPr>
              <w:t>KSP</w:t>
            </w:r>
          </w:p>
        </w:tc>
        <w:tc>
          <w:tcPr>
            <w:tcW w:w="8960" w:type="dxa"/>
            <w:tcBorders>
              <w:top w:val="nil"/>
              <w:left w:val="nil"/>
              <w:bottom w:val="single" w:sz="8" w:space="0" w:color="4F81BD"/>
              <w:right w:val="single" w:sz="8" w:space="0" w:color="4F81BD"/>
            </w:tcBorders>
            <w:shd w:val="clear" w:color="auto" w:fill="auto"/>
            <w:hideMark/>
          </w:tcPr>
          <w:p w:rsidR="00727181" w:rsidRPr="00AD4E86" w:rsidRDefault="00BC1C74" w:rsidP="00AD6802">
            <w:pPr>
              <w:spacing w:after="0" w:line="240" w:lineRule="auto"/>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 xml:space="preserve">Wydział Komunikacji Społecznej i </w:t>
            </w:r>
            <w:r w:rsidR="00727181" w:rsidRPr="00AD4E86">
              <w:rPr>
                <w:rFonts w:ascii="Cambria" w:eastAsia="Times New Roman" w:hAnsi="Cambria" w:cs="Arial"/>
                <w:color w:val="000000"/>
                <w:sz w:val="20"/>
                <w:szCs w:val="20"/>
                <w:lang w:eastAsia="pl-PL"/>
              </w:rPr>
              <w:t xml:space="preserve">Promocji Urzędu Miejskiego w Suwałkach </w:t>
            </w:r>
          </w:p>
        </w:tc>
      </w:tr>
      <w:tr w:rsidR="00727181" w:rsidRPr="00AD4E86" w:rsidTr="00AD6802">
        <w:trPr>
          <w:trHeight w:val="405"/>
        </w:trPr>
        <w:tc>
          <w:tcPr>
            <w:tcW w:w="1147" w:type="dxa"/>
            <w:tcBorders>
              <w:top w:val="nil"/>
              <w:left w:val="single" w:sz="8" w:space="0" w:color="4F81BD"/>
              <w:bottom w:val="single" w:sz="8" w:space="0" w:color="4F81BD"/>
              <w:right w:val="nil"/>
            </w:tcBorders>
            <w:shd w:val="clear" w:color="auto" w:fill="auto"/>
            <w:hideMark/>
          </w:tcPr>
          <w:p w:rsidR="00727181" w:rsidRPr="00AD4E86" w:rsidRDefault="00727181" w:rsidP="00AD6802">
            <w:pPr>
              <w:spacing w:after="0" w:line="240" w:lineRule="auto"/>
              <w:rPr>
                <w:rFonts w:ascii="Cambria" w:eastAsia="Times New Roman" w:hAnsi="Cambria" w:cs="Arial"/>
                <w:b/>
                <w:bCs/>
                <w:color w:val="000000"/>
                <w:sz w:val="20"/>
                <w:szCs w:val="20"/>
                <w:lang w:eastAsia="pl-PL"/>
              </w:rPr>
            </w:pPr>
            <w:r w:rsidRPr="00AD4E86">
              <w:rPr>
                <w:rFonts w:ascii="Cambria" w:eastAsia="Times New Roman" w:hAnsi="Cambria" w:cs="Arial"/>
                <w:b/>
                <w:bCs/>
                <w:color w:val="000000"/>
                <w:sz w:val="20"/>
                <w:szCs w:val="20"/>
                <w:lang w:eastAsia="pl-PL"/>
              </w:rPr>
              <w:t>MOPS</w:t>
            </w:r>
          </w:p>
        </w:tc>
        <w:tc>
          <w:tcPr>
            <w:tcW w:w="8960" w:type="dxa"/>
            <w:tcBorders>
              <w:top w:val="nil"/>
              <w:left w:val="nil"/>
              <w:bottom w:val="single" w:sz="8" w:space="0" w:color="4F81BD"/>
              <w:right w:val="single" w:sz="8" w:space="0" w:color="4F81BD"/>
            </w:tcBorders>
            <w:shd w:val="clear" w:color="auto" w:fill="auto"/>
            <w:hideMark/>
          </w:tcPr>
          <w:p w:rsidR="00727181" w:rsidRPr="00AD4E86" w:rsidRDefault="00727181" w:rsidP="00AD6802">
            <w:pPr>
              <w:spacing w:after="0" w:line="240" w:lineRule="auto"/>
              <w:rPr>
                <w:rFonts w:ascii="Cambria" w:eastAsia="Times New Roman" w:hAnsi="Cambria" w:cs="Arial"/>
                <w:color w:val="000000"/>
                <w:sz w:val="20"/>
                <w:szCs w:val="20"/>
                <w:lang w:eastAsia="pl-PL"/>
              </w:rPr>
            </w:pPr>
            <w:r w:rsidRPr="00AD4E86">
              <w:rPr>
                <w:rFonts w:ascii="Cambria" w:eastAsia="Times New Roman" w:hAnsi="Cambria" w:cs="Arial"/>
                <w:color w:val="000000"/>
                <w:sz w:val="20"/>
                <w:szCs w:val="20"/>
                <w:lang w:eastAsia="pl-PL"/>
              </w:rPr>
              <w:t>Miejski Ośrodek Pomocy Społecznej w Suwał</w:t>
            </w:r>
            <w:r w:rsidR="00BC1C74">
              <w:rPr>
                <w:rFonts w:ascii="Cambria" w:eastAsia="Times New Roman" w:hAnsi="Cambria" w:cs="Arial"/>
                <w:color w:val="000000"/>
                <w:sz w:val="20"/>
                <w:szCs w:val="20"/>
                <w:lang w:eastAsia="pl-PL"/>
              </w:rPr>
              <w:t>k</w:t>
            </w:r>
            <w:r w:rsidRPr="00AD4E86">
              <w:rPr>
                <w:rFonts w:ascii="Cambria" w:eastAsia="Times New Roman" w:hAnsi="Cambria" w:cs="Arial"/>
                <w:color w:val="000000"/>
                <w:sz w:val="20"/>
                <w:szCs w:val="20"/>
                <w:lang w:eastAsia="pl-PL"/>
              </w:rPr>
              <w:t xml:space="preserve">ach </w:t>
            </w:r>
          </w:p>
        </w:tc>
      </w:tr>
      <w:tr w:rsidR="00727181" w:rsidRPr="00AD4E86" w:rsidTr="00AD6802">
        <w:trPr>
          <w:trHeight w:val="405"/>
        </w:trPr>
        <w:tc>
          <w:tcPr>
            <w:tcW w:w="1147" w:type="dxa"/>
            <w:tcBorders>
              <w:top w:val="nil"/>
              <w:left w:val="single" w:sz="8" w:space="0" w:color="4F81BD"/>
              <w:bottom w:val="single" w:sz="8" w:space="0" w:color="4F81BD"/>
              <w:right w:val="nil"/>
            </w:tcBorders>
            <w:shd w:val="clear" w:color="auto" w:fill="auto"/>
            <w:hideMark/>
          </w:tcPr>
          <w:p w:rsidR="00727181" w:rsidRPr="00AD4E86" w:rsidRDefault="00727181" w:rsidP="00AD6802">
            <w:pPr>
              <w:spacing w:after="0" w:line="240" w:lineRule="auto"/>
              <w:rPr>
                <w:rFonts w:ascii="Cambria" w:eastAsia="Times New Roman" w:hAnsi="Cambria" w:cs="Arial"/>
                <w:b/>
                <w:bCs/>
                <w:color w:val="000000"/>
                <w:sz w:val="20"/>
                <w:szCs w:val="20"/>
                <w:lang w:eastAsia="pl-PL"/>
              </w:rPr>
            </w:pPr>
            <w:r w:rsidRPr="00AD4E86">
              <w:rPr>
                <w:rFonts w:ascii="Cambria" w:eastAsia="Times New Roman" w:hAnsi="Cambria" w:cs="Arial"/>
                <w:b/>
                <w:bCs/>
                <w:color w:val="000000"/>
                <w:sz w:val="20"/>
                <w:szCs w:val="20"/>
                <w:lang w:eastAsia="pl-PL"/>
              </w:rPr>
              <w:t>OSGK</w:t>
            </w:r>
          </w:p>
        </w:tc>
        <w:tc>
          <w:tcPr>
            <w:tcW w:w="8960" w:type="dxa"/>
            <w:tcBorders>
              <w:top w:val="nil"/>
              <w:left w:val="nil"/>
              <w:bottom w:val="single" w:sz="8" w:space="0" w:color="4F81BD"/>
              <w:right w:val="single" w:sz="8" w:space="0" w:color="4F81BD"/>
            </w:tcBorders>
            <w:shd w:val="clear" w:color="auto" w:fill="auto"/>
            <w:hideMark/>
          </w:tcPr>
          <w:p w:rsidR="00727181" w:rsidRPr="00AD4E86" w:rsidRDefault="00727181" w:rsidP="00AD6802">
            <w:pPr>
              <w:spacing w:after="0" w:line="240" w:lineRule="auto"/>
              <w:rPr>
                <w:rFonts w:ascii="Cambria" w:eastAsia="Times New Roman" w:hAnsi="Cambria" w:cs="Arial"/>
                <w:color w:val="000000"/>
                <w:sz w:val="20"/>
                <w:szCs w:val="20"/>
                <w:lang w:eastAsia="pl-PL"/>
              </w:rPr>
            </w:pPr>
            <w:r w:rsidRPr="00AD4E86">
              <w:rPr>
                <w:rFonts w:ascii="Cambria" w:eastAsia="Times New Roman" w:hAnsi="Cambria" w:cs="Arial"/>
                <w:color w:val="000000"/>
                <w:sz w:val="20"/>
                <w:szCs w:val="20"/>
                <w:lang w:eastAsia="pl-PL"/>
              </w:rPr>
              <w:t>Wydział Ochrony Środowiska i Gospodarki Komunalnej Urzędu Miejskiego w Suwałkach</w:t>
            </w:r>
          </w:p>
        </w:tc>
      </w:tr>
      <w:tr w:rsidR="00727181" w:rsidRPr="00AD4E86" w:rsidTr="00AD6802">
        <w:trPr>
          <w:trHeight w:val="405"/>
        </w:trPr>
        <w:tc>
          <w:tcPr>
            <w:tcW w:w="1147" w:type="dxa"/>
            <w:tcBorders>
              <w:top w:val="nil"/>
              <w:left w:val="single" w:sz="8" w:space="0" w:color="4F81BD"/>
              <w:bottom w:val="single" w:sz="8" w:space="0" w:color="4F81BD"/>
              <w:right w:val="nil"/>
            </w:tcBorders>
            <w:shd w:val="clear" w:color="auto" w:fill="auto"/>
            <w:hideMark/>
          </w:tcPr>
          <w:p w:rsidR="00727181" w:rsidRPr="00AD4E86" w:rsidRDefault="00727181" w:rsidP="00AD6802">
            <w:pPr>
              <w:spacing w:after="0" w:line="240" w:lineRule="auto"/>
              <w:rPr>
                <w:rFonts w:ascii="Cambria" w:eastAsia="Times New Roman" w:hAnsi="Cambria" w:cs="Arial"/>
                <w:b/>
                <w:bCs/>
                <w:color w:val="000000"/>
                <w:sz w:val="20"/>
                <w:szCs w:val="20"/>
                <w:lang w:eastAsia="pl-PL"/>
              </w:rPr>
            </w:pPr>
            <w:proofErr w:type="spellStart"/>
            <w:r>
              <w:rPr>
                <w:rFonts w:ascii="Cambria" w:eastAsia="Times New Roman" w:hAnsi="Cambria" w:cs="Arial"/>
                <w:b/>
                <w:bCs/>
                <w:color w:val="000000"/>
                <w:sz w:val="20"/>
                <w:szCs w:val="20"/>
                <w:lang w:eastAsia="pl-PL"/>
              </w:rPr>
              <w:t>OSiR</w:t>
            </w:r>
            <w:proofErr w:type="spellEnd"/>
          </w:p>
        </w:tc>
        <w:tc>
          <w:tcPr>
            <w:tcW w:w="8960" w:type="dxa"/>
            <w:tcBorders>
              <w:top w:val="nil"/>
              <w:left w:val="nil"/>
              <w:bottom w:val="single" w:sz="8" w:space="0" w:color="4F81BD"/>
              <w:right w:val="single" w:sz="8" w:space="0" w:color="4F81BD"/>
            </w:tcBorders>
            <w:shd w:val="clear" w:color="auto" w:fill="auto"/>
            <w:hideMark/>
          </w:tcPr>
          <w:p w:rsidR="00727181" w:rsidRPr="00AD4E86" w:rsidRDefault="00727181" w:rsidP="00AD6802">
            <w:pPr>
              <w:spacing w:after="0" w:line="240" w:lineRule="auto"/>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 xml:space="preserve">Ośrodek Sportu i Rekreacji w Suwałkach </w:t>
            </w:r>
          </w:p>
        </w:tc>
      </w:tr>
      <w:tr w:rsidR="00727181" w:rsidRPr="00AD4E86" w:rsidTr="00AD6802">
        <w:trPr>
          <w:trHeight w:val="405"/>
        </w:trPr>
        <w:tc>
          <w:tcPr>
            <w:tcW w:w="1147" w:type="dxa"/>
            <w:tcBorders>
              <w:top w:val="nil"/>
              <w:left w:val="single" w:sz="8" w:space="0" w:color="4F81BD"/>
              <w:bottom w:val="single" w:sz="8" w:space="0" w:color="4F81BD"/>
              <w:right w:val="nil"/>
            </w:tcBorders>
            <w:shd w:val="clear" w:color="auto" w:fill="auto"/>
            <w:hideMark/>
          </w:tcPr>
          <w:p w:rsidR="00727181" w:rsidRPr="00AD4E86" w:rsidRDefault="00727181" w:rsidP="00AD6802">
            <w:pPr>
              <w:spacing w:after="0" w:line="240" w:lineRule="auto"/>
              <w:rPr>
                <w:rFonts w:ascii="Cambria" w:eastAsia="Times New Roman" w:hAnsi="Cambria" w:cs="Arial"/>
                <w:b/>
                <w:bCs/>
                <w:color w:val="000000"/>
                <w:sz w:val="20"/>
                <w:szCs w:val="20"/>
                <w:lang w:eastAsia="pl-PL"/>
              </w:rPr>
            </w:pPr>
            <w:r w:rsidRPr="00AD4E86">
              <w:rPr>
                <w:rFonts w:ascii="Cambria" w:eastAsia="Times New Roman" w:hAnsi="Cambria" w:cs="Arial"/>
                <w:b/>
                <w:bCs/>
                <w:color w:val="000000"/>
                <w:sz w:val="20"/>
                <w:szCs w:val="20"/>
                <w:lang w:eastAsia="pl-PL"/>
              </w:rPr>
              <w:t>OWS</w:t>
            </w:r>
          </w:p>
        </w:tc>
        <w:tc>
          <w:tcPr>
            <w:tcW w:w="8960" w:type="dxa"/>
            <w:tcBorders>
              <w:top w:val="nil"/>
              <w:left w:val="nil"/>
              <w:bottom w:val="single" w:sz="8" w:space="0" w:color="4F81BD"/>
              <w:right w:val="single" w:sz="8" w:space="0" w:color="4F81BD"/>
            </w:tcBorders>
            <w:shd w:val="clear" w:color="auto" w:fill="auto"/>
            <w:hideMark/>
          </w:tcPr>
          <w:p w:rsidR="00727181" w:rsidRPr="00AD4E86" w:rsidRDefault="00727181" w:rsidP="00AD6802">
            <w:pPr>
              <w:spacing w:after="0" w:line="240" w:lineRule="auto"/>
              <w:rPr>
                <w:rFonts w:ascii="Cambria" w:eastAsia="Times New Roman" w:hAnsi="Cambria" w:cs="Arial"/>
                <w:color w:val="000000"/>
                <w:sz w:val="20"/>
                <w:szCs w:val="20"/>
                <w:lang w:eastAsia="pl-PL"/>
              </w:rPr>
            </w:pPr>
            <w:r w:rsidRPr="00AD4E86">
              <w:rPr>
                <w:rFonts w:ascii="Cambria" w:eastAsia="Times New Roman" w:hAnsi="Cambria" w:cs="Arial"/>
                <w:color w:val="000000"/>
                <w:sz w:val="20"/>
                <w:szCs w:val="20"/>
                <w:lang w:eastAsia="pl-PL"/>
              </w:rPr>
              <w:t>Wydział Oświaty, Wychowania i Sportu Urzędu Miejskiego w Suwałkach</w:t>
            </w:r>
          </w:p>
        </w:tc>
      </w:tr>
      <w:tr w:rsidR="00727181" w:rsidRPr="00AD4E86" w:rsidTr="00AD6802">
        <w:trPr>
          <w:trHeight w:val="405"/>
        </w:trPr>
        <w:tc>
          <w:tcPr>
            <w:tcW w:w="1147" w:type="dxa"/>
            <w:tcBorders>
              <w:top w:val="nil"/>
              <w:left w:val="single" w:sz="8" w:space="0" w:color="4F81BD"/>
              <w:bottom w:val="single" w:sz="8" w:space="0" w:color="4F81BD"/>
              <w:right w:val="nil"/>
            </w:tcBorders>
            <w:shd w:val="clear" w:color="auto" w:fill="auto"/>
            <w:hideMark/>
          </w:tcPr>
          <w:p w:rsidR="00727181" w:rsidRPr="00AD4E86" w:rsidRDefault="00727181" w:rsidP="00AD6802">
            <w:pPr>
              <w:spacing w:after="0" w:line="240" w:lineRule="auto"/>
              <w:rPr>
                <w:rFonts w:ascii="Cambria" w:eastAsia="Times New Roman" w:hAnsi="Cambria" w:cs="Arial"/>
                <w:b/>
                <w:bCs/>
                <w:color w:val="000000"/>
                <w:sz w:val="20"/>
                <w:szCs w:val="20"/>
                <w:lang w:eastAsia="pl-PL"/>
              </w:rPr>
            </w:pPr>
            <w:r w:rsidRPr="00AD4E86">
              <w:rPr>
                <w:rFonts w:ascii="Cambria" w:eastAsia="Times New Roman" w:hAnsi="Cambria" w:cs="Arial"/>
                <w:b/>
                <w:bCs/>
                <w:color w:val="000000"/>
                <w:sz w:val="20"/>
                <w:szCs w:val="20"/>
                <w:lang w:eastAsia="pl-PL"/>
              </w:rPr>
              <w:t>PEC</w:t>
            </w:r>
          </w:p>
        </w:tc>
        <w:tc>
          <w:tcPr>
            <w:tcW w:w="8960" w:type="dxa"/>
            <w:tcBorders>
              <w:top w:val="nil"/>
              <w:left w:val="nil"/>
              <w:bottom w:val="single" w:sz="8" w:space="0" w:color="4F81BD"/>
              <w:right w:val="single" w:sz="8" w:space="0" w:color="4F81BD"/>
            </w:tcBorders>
            <w:shd w:val="clear" w:color="auto" w:fill="auto"/>
            <w:hideMark/>
          </w:tcPr>
          <w:p w:rsidR="00727181" w:rsidRPr="00AD4E86" w:rsidRDefault="00727181" w:rsidP="00AD6802">
            <w:pPr>
              <w:spacing w:after="0" w:line="240" w:lineRule="auto"/>
              <w:rPr>
                <w:rFonts w:ascii="Cambria" w:eastAsia="Times New Roman" w:hAnsi="Cambria" w:cs="Arial"/>
                <w:color w:val="000000"/>
                <w:sz w:val="20"/>
                <w:szCs w:val="20"/>
                <w:lang w:eastAsia="pl-PL"/>
              </w:rPr>
            </w:pPr>
            <w:r w:rsidRPr="00AD4E86">
              <w:rPr>
                <w:rFonts w:ascii="Cambria" w:eastAsia="Times New Roman" w:hAnsi="Cambria" w:cs="Arial"/>
                <w:color w:val="000000"/>
                <w:sz w:val="20"/>
                <w:szCs w:val="20"/>
                <w:lang w:eastAsia="pl-PL"/>
              </w:rPr>
              <w:t>Przedsiębiorstwo Energetyki Cieplnej Sp. z o.o. w Suwałkach</w:t>
            </w:r>
          </w:p>
        </w:tc>
      </w:tr>
      <w:tr w:rsidR="00727181" w:rsidRPr="00AD4E86" w:rsidTr="00AD6802">
        <w:trPr>
          <w:trHeight w:val="405"/>
        </w:trPr>
        <w:tc>
          <w:tcPr>
            <w:tcW w:w="1147" w:type="dxa"/>
            <w:tcBorders>
              <w:top w:val="nil"/>
              <w:left w:val="single" w:sz="8" w:space="0" w:color="4F81BD"/>
              <w:bottom w:val="single" w:sz="8" w:space="0" w:color="4F81BD"/>
              <w:right w:val="nil"/>
            </w:tcBorders>
            <w:shd w:val="clear" w:color="auto" w:fill="auto"/>
            <w:hideMark/>
          </w:tcPr>
          <w:p w:rsidR="00727181" w:rsidRPr="00AD4E86" w:rsidRDefault="00727181" w:rsidP="00AD6802">
            <w:pPr>
              <w:spacing w:after="0" w:line="240" w:lineRule="auto"/>
              <w:rPr>
                <w:rFonts w:ascii="Cambria" w:eastAsia="Times New Roman" w:hAnsi="Cambria" w:cs="Arial"/>
                <w:b/>
                <w:bCs/>
                <w:color w:val="000000"/>
                <w:sz w:val="20"/>
                <w:szCs w:val="20"/>
                <w:lang w:eastAsia="pl-PL"/>
              </w:rPr>
            </w:pPr>
            <w:r w:rsidRPr="00AD4E86">
              <w:rPr>
                <w:rFonts w:ascii="Cambria" w:eastAsia="Times New Roman" w:hAnsi="Cambria" w:cs="Arial"/>
                <w:b/>
                <w:bCs/>
                <w:color w:val="000000"/>
                <w:sz w:val="20"/>
                <w:szCs w:val="20"/>
                <w:lang w:eastAsia="pl-PL"/>
              </w:rPr>
              <w:t>PGK</w:t>
            </w:r>
          </w:p>
        </w:tc>
        <w:tc>
          <w:tcPr>
            <w:tcW w:w="8960" w:type="dxa"/>
            <w:tcBorders>
              <w:top w:val="nil"/>
              <w:left w:val="nil"/>
              <w:bottom w:val="single" w:sz="8" w:space="0" w:color="4F81BD"/>
              <w:right w:val="single" w:sz="8" w:space="0" w:color="4F81BD"/>
            </w:tcBorders>
            <w:shd w:val="clear" w:color="auto" w:fill="auto"/>
            <w:hideMark/>
          </w:tcPr>
          <w:p w:rsidR="00727181" w:rsidRPr="00AD4E86" w:rsidRDefault="00727181" w:rsidP="00AD6802">
            <w:pPr>
              <w:spacing w:after="0" w:line="240" w:lineRule="auto"/>
              <w:rPr>
                <w:rFonts w:ascii="Cambria" w:eastAsia="Times New Roman" w:hAnsi="Cambria" w:cs="Arial"/>
                <w:color w:val="000000"/>
                <w:sz w:val="20"/>
                <w:szCs w:val="20"/>
                <w:lang w:eastAsia="pl-PL"/>
              </w:rPr>
            </w:pPr>
            <w:r w:rsidRPr="00AD4E86">
              <w:rPr>
                <w:rFonts w:ascii="Cambria" w:eastAsia="Times New Roman" w:hAnsi="Cambria" w:cs="Arial"/>
                <w:color w:val="000000"/>
                <w:sz w:val="20"/>
                <w:szCs w:val="20"/>
                <w:lang w:eastAsia="pl-PL"/>
              </w:rPr>
              <w:t>Przedsiębiorstwo Gospodarki Komunalnej w Suwałkach Sp. z o.o.</w:t>
            </w:r>
          </w:p>
        </w:tc>
      </w:tr>
      <w:tr w:rsidR="00727181" w:rsidRPr="00AD4E86" w:rsidTr="00AD6802">
        <w:trPr>
          <w:trHeight w:val="405"/>
        </w:trPr>
        <w:tc>
          <w:tcPr>
            <w:tcW w:w="1147" w:type="dxa"/>
            <w:tcBorders>
              <w:top w:val="nil"/>
              <w:left w:val="single" w:sz="8" w:space="0" w:color="4F81BD"/>
              <w:bottom w:val="single" w:sz="8" w:space="0" w:color="4F81BD"/>
              <w:right w:val="nil"/>
            </w:tcBorders>
            <w:shd w:val="clear" w:color="auto" w:fill="auto"/>
            <w:hideMark/>
          </w:tcPr>
          <w:p w:rsidR="00727181" w:rsidRPr="00AD4E86" w:rsidRDefault="00727181" w:rsidP="00AD6802">
            <w:pPr>
              <w:spacing w:after="0" w:line="240" w:lineRule="auto"/>
              <w:rPr>
                <w:rFonts w:ascii="Cambria" w:eastAsia="Times New Roman" w:hAnsi="Cambria" w:cs="Arial"/>
                <w:b/>
                <w:bCs/>
                <w:color w:val="000000"/>
                <w:sz w:val="20"/>
                <w:szCs w:val="20"/>
                <w:lang w:eastAsia="pl-PL"/>
              </w:rPr>
            </w:pPr>
            <w:r w:rsidRPr="00AD4E86">
              <w:rPr>
                <w:rFonts w:ascii="Cambria" w:eastAsia="Times New Roman" w:hAnsi="Cambria" w:cs="Arial"/>
                <w:b/>
                <w:bCs/>
                <w:color w:val="000000"/>
                <w:sz w:val="20"/>
                <w:szCs w:val="20"/>
                <w:lang w:eastAsia="pl-PL"/>
              </w:rPr>
              <w:t>PGO</w:t>
            </w:r>
          </w:p>
        </w:tc>
        <w:tc>
          <w:tcPr>
            <w:tcW w:w="8960" w:type="dxa"/>
            <w:tcBorders>
              <w:top w:val="nil"/>
              <w:left w:val="nil"/>
              <w:bottom w:val="single" w:sz="8" w:space="0" w:color="4F81BD"/>
              <w:right w:val="single" w:sz="8" w:space="0" w:color="4F81BD"/>
            </w:tcBorders>
            <w:shd w:val="clear" w:color="auto" w:fill="auto"/>
            <w:hideMark/>
          </w:tcPr>
          <w:p w:rsidR="00727181" w:rsidRPr="00AD4E86" w:rsidRDefault="00727181" w:rsidP="00AD6802">
            <w:pPr>
              <w:spacing w:after="0" w:line="240" w:lineRule="auto"/>
              <w:rPr>
                <w:rFonts w:ascii="Cambria" w:eastAsia="Times New Roman" w:hAnsi="Cambria" w:cs="Arial"/>
                <w:color w:val="000000"/>
                <w:sz w:val="20"/>
                <w:szCs w:val="20"/>
                <w:lang w:eastAsia="pl-PL"/>
              </w:rPr>
            </w:pPr>
            <w:r w:rsidRPr="00AD4E86">
              <w:rPr>
                <w:rFonts w:ascii="Cambria" w:eastAsia="Times New Roman" w:hAnsi="Cambria" w:cs="Arial"/>
                <w:color w:val="000000"/>
                <w:sz w:val="20"/>
                <w:szCs w:val="20"/>
                <w:lang w:eastAsia="pl-PL"/>
              </w:rPr>
              <w:t>Przedsiębiorstwo Gospodarki Odpadami w Suwałkach Sp. z o.o.</w:t>
            </w:r>
          </w:p>
        </w:tc>
      </w:tr>
      <w:tr w:rsidR="00727181" w:rsidRPr="00AD4E86" w:rsidTr="00AD6802">
        <w:trPr>
          <w:trHeight w:val="405"/>
        </w:trPr>
        <w:tc>
          <w:tcPr>
            <w:tcW w:w="1147" w:type="dxa"/>
            <w:tcBorders>
              <w:top w:val="nil"/>
              <w:left w:val="single" w:sz="8" w:space="0" w:color="4F81BD"/>
              <w:bottom w:val="single" w:sz="8" w:space="0" w:color="4F81BD"/>
              <w:right w:val="nil"/>
            </w:tcBorders>
            <w:shd w:val="clear" w:color="auto" w:fill="auto"/>
            <w:hideMark/>
          </w:tcPr>
          <w:p w:rsidR="00727181" w:rsidRPr="00AD4E86" w:rsidRDefault="00727181" w:rsidP="00AD6802">
            <w:pPr>
              <w:spacing w:after="0" w:line="240" w:lineRule="auto"/>
              <w:rPr>
                <w:rFonts w:ascii="Cambria" w:eastAsia="Times New Roman" w:hAnsi="Cambria" w:cs="Arial"/>
                <w:b/>
                <w:bCs/>
                <w:color w:val="000000"/>
                <w:sz w:val="20"/>
                <w:szCs w:val="20"/>
                <w:lang w:eastAsia="pl-PL"/>
              </w:rPr>
            </w:pPr>
            <w:r>
              <w:rPr>
                <w:rFonts w:ascii="Cambria" w:eastAsia="Times New Roman" w:hAnsi="Cambria" w:cs="Arial"/>
                <w:b/>
                <w:bCs/>
                <w:color w:val="000000"/>
                <w:sz w:val="20"/>
                <w:szCs w:val="20"/>
                <w:lang w:eastAsia="pl-PL"/>
              </w:rPr>
              <w:t>PNT</w:t>
            </w:r>
          </w:p>
        </w:tc>
        <w:tc>
          <w:tcPr>
            <w:tcW w:w="8960" w:type="dxa"/>
            <w:tcBorders>
              <w:top w:val="nil"/>
              <w:left w:val="nil"/>
              <w:bottom w:val="single" w:sz="8" w:space="0" w:color="4F81BD"/>
              <w:right w:val="single" w:sz="8" w:space="0" w:color="4F81BD"/>
            </w:tcBorders>
            <w:shd w:val="clear" w:color="auto" w:fill="auto"/>
            <w:hideMark/>
          </w:tcPr>
          <w:p w:rsidR="00727181" w:rsidRPr="00AD4E86" w:rsidRDefault="00727181" w:rsidP="00AD6802">
            <w:pPr>
              <w:spacing w:after="0" w:line="240" w:lineRule="auto"/>
              <w:rPr>
                <w:rFonts w:ascii="Cambria" w:eastAsia="Times New Roman" w:hAnsi="Cambria" w:cs="Arial"/>
                <w:color w:val="000000"/>
                <w:sz w:val="20"/>
                <w:szCs w:val="20"/>
                <w:lang w:eastAsia="pl-PL"/>
              </w:rPr>
            </w:pPr>
            <w:r w:rsidRPr="00AD4E86">
              <w:rPr>
                <w:rFonts w:ascii="Cambria" w:eastAsia="Times New Roman" w:hAnsi="Cambria" w:cs="Arial"/>
                <w:color w:val="000000"/>
                <w:sz w:val="20"/>
                <w:szCs w:val="20"/>
                <w:lang w:eastAsia="pl-PL"/>
              </w:rPr>
              <w:t xml:space="preserve">Park Naukowo-Technologiczny Polska-Wschód Sp. z o.o. w Suwałkach </w:t>
            </w:r>
          </w:p>
        </w:tc>
      </w:tr>
      <w:tr w:rsidR="00685C1D" w:rsidRPr="00AD4E86" w:rsidTr="00AD6802">
        <w:trPr>
          <w:trHeight w:val="405"/>
        </w:trPr>
        <w:tc>
          <w:tcPr>
            <w:tcW w:w="1147" w:type="dxa"/>
            <w:tcBorders>
              <w:top w:val="nil"/>
              <w:left w:val="single" w:sz="8" w:space="0" w:color="4F81BD"/>
              <w:bottom w:val="single" w:sz="8" w:space="0" w:color="4F81BD"/>
              <w:right w:val="nil"/>
            </w:tcBorders>
            <w:shd w:val="clear" w:color="auto" w:fill="auto"/>
            <w:hideMark/>
          </w:tcPr>
          <w:p w:rsidR="00685C1D" w:rsidRPr="00AD4E86" w:rsidRDefault="00685C1D" w:rsidP="00AD6802">
            <w:pPr>
              <w:spacing w:after="0" w:line="240" w:lineRule="auto"/>
              <w:rPr>
                <w:rFonts w:ascii="Cambria" w:eastAsia="Times New Roman" w:hAnsi="Cambria" w:cs="Arial"/>
                <w:b/>
                <w:bCs/>
                <w:color w:val="000000"/>
                <w:sz w:val="20"/>
                <w:szCs w:val="20"/>
                <w:lang w:eastAsia="pl-PL"/>
              </w:rPr>
            </w:pPr>
            <w:r>
              <w:rPr>
                <w:rFonts w:ascii="Cambria" w:eastAsia="Times New Roman" w:hAnsi="Cambria" w:cs="Arial"/>
                <w:b/>
                <w:bCs/>
                <w:color w:val="000000"/>
                <w:sz w:val="20"/>
                <w:szCs w:val="20"/>
                <w:lang w:eastAsia="pl-PL"/>
              </w:rPr>
              <w:t>PUP</w:t>
            </w:r>
          </w:p>
        </w:tc>
        <w:tc>
          <w:tcPr>
            <w:tcW w:w="8960" w:type="dxa"/>
            <w:tcBorders>
              <w:top w:val="nil"/>
              <w:left w:val="nil"/>
              <w:bottom w:val="single" w:sz="8" w:space="0" w:color="4F81BD"/>
              <w:right w:val="single" w:sz="8" w:space="0" w:color="4F81BD"/>
            </w:tcBorders>
            <w:shd w:val="clear" w:color="auto" w:fill="auto"/>
            <w:hideMark/>
          </w:tcPr>
          <w:p w:rsidR="00685C1D" w:rsidRPr="00AD4E86" w:rsidRDefault="00685C1D" w:rsidP="00AD6802">
            <w:pPr>
              <w:spacing w:after="0" w:line="240" w:lineRule="auto"/>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Powiatowy Urząd Pracy w Suwałkach</w:t>
            </w:r>
          </w:p>
        </w:tc>
      </w:tr>
      <w:tr w:rsidR="00727181" w:rsidRPr="00AD4E86" w:rsidTr="00AD6802">
        <w:trPr>
          <w:trHeight w:val="405"/>
        </w:trPr>
        <w:tc>
          <w:tcPr>
            <w:tcW w:w="1147" w:type="dxa"/>
            <w:tcBorders>
              <w:top w:val="nil"/>
              <w:left w:val="single" w:sz="8" w:space="0" w:color="4F81BD"/>
              <w:bottom w:val="single" w:sz="8" w:space="0" w:color="4F81BD"/>
              <w:right w:val="nil"/>
            </w:tcBorders>
            <w:shd w:val="clear" w:color="auto" w:fill="auto"/>
            <w:hideMark/>
          </w:tcPr>
          <w:p w:rsidR="00727181" w:rsidRPr="00AD4E86" w:rsidRDefault="00727181" w:rsidP="00AD6802">
            <w:pPr>
              <w:spacing w:after="0" w:line="240" w:lineRule="auto"/>
              <w:rPr>
                <w:rFonts w:ascii="Cambria" w:eastAsia="Times New Roman" w:hAnsi="Cambria" w:cs="Arial"/>
                <w:b/>
                <w:bCs/>
                <w:color w:val="000000"/>
                <w:sz w:val="20"/>
                <w:szCs w:val="20"/>
                <w:lang w:eastAsia="pl-PL"/>
              </w:rPr>
            </w:pPr>
            <w:proofErr w:type="spellStart"/>
            <w:r w:rsidRPr="00AD4E86">
              <w:rPr>
                <w:rFonts w:ascii="Cambria" w:eastAsia="Times New Roman" w:hAnsi="Cambria" w:cs="Arial"/>
                <w:b/>
                <w:bCs/>
                <w:color w:val="000000"/>
                <w:sz w:val="20"/>
                <w:szCs w:val="20"/>
                <w:lang w:eastAsia="pl-PL"/>
              </w:rPr>
              <w:t>PWiK</w:t>
            </w:r>
            <w:proofErr w:type="spellEnd"/>
          </w:p>
        </w:tc>
        <w:tc>
          <w:tcPr>
            <w:tcW w:w="8960" w:type="dxa"/>
            <w:tcBorders>
              <w:top w:val="nil"/>
              <w:left w:val="nil"/>
              <w:bottom w:val="single" w:sz="8" w:space="0" w:color="4F81BD"/>
              <w:right w:val="single" w:sz="8" w:space="0" w:color="4F81BD"/>
            </w:tcBorders>
            <w:shd w:val="clear" w:color="auto" w:fill="auto"/>
            <w:hideMark/>
          </w:tcPr>
          <w:p w:rsidR="00727181" w:rsidRPr="00AD4E86" w:rsidRDefault="00727181" w:rsidP="00AD6802">
            <w:pPr>
              <w:spacing w:after="0" w:line="240" w:lineRule="auto"/>
              <w:rPr>
                <w:rFonts w:ascii="Cambria" w:eastAsia="Times New Roman" w:hAnsi="Cambria" w:cs="Arial"/>
                <w:color w:val="000000"/>
                <w:sz w:val="20"/>
                <w:szCs w:val="20"/>
                <w:lang w:eastAsia="pl-PL"/>
              </w:rPr>
            </w:pPr>
            <w:r w:rsidRPr="00AD4E86">
              <w:rPr>
                <w:rFonts w:ascii="Cambria" w:eastAsia="Times New Roman" w:hAnsi="Cambria" w:cs="Arial"/>
                <w:color w:val="000000"/>
                <w:sz w:val="20"/>
                <w:szCs w:val="20"/>
                <w:lang w:eastAsia="pl-PL"/>
              </w:rPr>
              <w:t xml:space="preserve">Przedsiębiorstwo Wodociągów i Kanalizacji w Suwałkach Sp. z o.o. </w:t>
            </w:r>
          </w:p>
        </w:tc>
      </w:tr>
      <w:tr w:rsidR="00727181" w:rsidRPr="00AD4E86" w:rsidTr="00AD6802">
        <w:trPr>
          <w:trHeight w:val="405"/>
        </w:trPr>
        <w:tc>
          <w:tcPr>
            <w:tcW w:w="1147" w:type="dxa"/>
            <w:tcBorders>
              <w:top w:val="nil"/>
              <w:left w:val="single" w:sz="8" w:space="0" w:color="4F81BD"/>
              <w:bottom w:val="single" w:sz="8" w:space="0" w:color="4F81BD"/>
              <w:right w:val="nil"/>
            </w:tcBorders>
            <w:shd w:val="clear" w:color="auto" w:fill="auto"/>
            <w:hideMark/>
          </w:tcPr>
          <w:p w:rsidR="00727181" w:rsidRPr="00AD4E86" w:rsidRDefault="00727181" w:rsidP="00AD6802">
            <w:pPr>
              <w:spacing w:after="0" w:line="240" w:lineRule="auto"/>
              <w:rPr>
                <w:rFonts w:ascii="Cambria" w:eastAsia="Times New Roman" w:hAnsi="Cambria" w:cs="Arial"/>
                <w:b/>
                <w:bCs/>
                <w:color w:val="000000"/>
                <w:sz w:val="20"/>
                <w:szCs w:val="20"/>
                <w:lang w:eastAsia="pl-PL"/>
              </w:rPr>
            </w:pPr>
            <w:r w:rsidRPr="00AD4E86">
              <w:rPr>
                <w:rFonts w:ascii="Cambria" w:eastAsia="Times New Roman" w:hAnsi="Cambria" w:cs="Arial"/>
                <w:b/>
                <w:bCs/>
                <w:color w:val="000000"/>
                <w:sz w:val="20"/>
                <w:szCs w:val="20"/>
                <w:lang w:eastAsia="pl-PL"/>
              </w:rPr>
              <w:t>RFZ</w:t>
            </w:r>
          </w:p>
        </w:tc>
        <w:tc>
          <w:tcPr>
            <w:tcW w:w="8960" w:type="dxa"/>
            <w:tcBorders>
              <w:top w:val="nil"/>
              <w:left w:val="nil"/>
              <w:bottom w:val="single" w:sz="8" w:space="0" w:color="4F81BD"/>
              <w:right w:val="single" w:sz="8" w:space="0" w:color="4F81BD"/>
            </w:tcBorders>
            <w:shd w:val="clear" w:color="auto" w:fill="auto"/>
            <w:hideMark/>
          </w:tcPr>
          <w:p w:rsidR="00727181" w:rsidRPr="00AD4E86" w:rsidRDefault="00727181" w:rsidP="00AD6802">
            <w:pPr>
              <w:spacing w:after="0" w:line="240" w:lineRule="auto"/>
              <w:rPr>
                <w:rFonts w:ascii="Cambria" w:eastAsia="Times New Roman" w:hAnsi="Cambria" w:cs="Arial"/>
                <w:color w:val="000000"/>
                <w:sz w:val="20"/>
                <w:szCs w:val="20"/>
                <w:lang w:eastAsia="pl-PL"/>
              </w:rPr>
            </w:pPr>
            <w:r w:rsidRPr="00AD4E86">
              <w:rPr>
                <w:rFonts w:ascii="Cambria" w:eastAsia="Times New Roman" w:hAnsi="Cambria" w:cs="Arial"/>
                <w:color w:val="000000"/>
                <w:sz w:val="20"/>
                <w:szCs w:val="20"/>
                <w:lang w:eastAsia="pl-PL"/>
              </w:rPr>
              <w:t>Wydział Rozwoju i Funduszy Zewnętrznych Urzędu Miejskiego w Suwałkach</w:t>
            </w:r>
          </w:p>
        </w:tc>
      </w:tr>
      <w:tr w:rsidR="00727181" w:rsidRPr="00AD4E86" w:rsidTr="00AD6802">
        <w:trPr>
          <w:trHeight w:val="405"/>
        </w:trPr>
        <w:tc>
          <w:tcPr>
            <w:tcW w:w="1147" w:type="dxa"/>
            <w:tcBorders>
              <w:top w:val="nil"/>
              <w:left w:val="single" w:sz="8" w:space="0" w:color="4F81BD"/>
              <w:bottom w:val="single" w:sz="8" w:space="0" w:color="4F81BD"/>
              <w:right w:val="nil"/>
            </w:tcBorders>
            <w:shd w:val="clear" w:color="auto" w:fill="auto"/>
            <w:hideMark/>
          </w:tcPr>
          <w:p w:rsidR="00727181" w:rsidRPr="00AD4E86" w:rsidRDefault="00727181" w:rsidP="00AD6802">
            <w:pPr>
              <w:spacing w:after="0" w:line="240" w:lineRule="auto"/>
              <w:rPr>
                <w:rFonts w:ascii="Cambria" w:eastAsia="Times New Roman" w:hAnsi="Cambria" w:cs="Arial"/>
                <w:b/>
                <w:bCs/>
                <w:color w:val="000000"/>
                <w:sz w:val="20"/>
                <w:szCs w:val="20"/>
                <w:lang w:eastAsia="pl-PL"/>
              </w:rPr>
            </w:pPr>
            <w:r w:rsidRPr="00AD4E86">
              <w:rPr>
                <w:rFonts w:ascii="Cambria" w:eastAsia="Times New Roman" w:hAnsi="Cambria" w:cs="Arial"/>
                <w:b/>
                <w:bCs/>
                <w:color w:val="000000"/>
                <w:sz w:val="20"/>
                <w:szCs w:val="20"/>
                <w:lang w:eastAsia="pl-PL"/>
              </w:rPr>
              <w:t>S</w:t>
            </w:r>
          </w:p>
        </w:tc>
        <w:tc>
          <w:tcPr>
            <w:tcW w:w="8960" w:type="dxa"/>
            <w:tcBorders>
              <w:top w:val="nil"/>
              <w:left w:val="nil"/>
              <w:bottom w:val="single" w:sz="8" w:space="0" w:color="4F81BD"/>
              <w:right w:val="single" w:sz="8" w:space="0" w:color="4F81BD"/>
            </w:tcBorders>
            <w:shd w:val="clear" w:color="auto" w:fill="auto"/>
            <w:hideMark/>
          </w:tcPr>
          <w:p w:rsidR="00727181" w:rsidRPr="00AD4E86" w:rsidRDefault="00727181" w:rsidP="00AD6802">
            <w:pPr>
              <w:spacing w:after="0" w:line="240" w:lineRule="auto"/>
              <w:rPr>
                <w:rFonts w:ascii="Cambria" w:eastAsia="Times New Roman" w:hAnsi="Cambria" w:cs="Arial"/>
                <w:color w:val="000000"/>
                <w:sz w:val="20"/>
                <w:szCs w:val="20"/>
                <w:lang w:eastAsia="pl-PL"/>
              </w:rPr>
            </w:pPr>
            <w:r w:rsidRPr="00AD4E86">
              <w:rPr>
                <w:rFonts w:ascii="Cambria" w:eastAsia="Times New Roman" w:hAnsi="Cambria" w:cs="Arial"/>
                <w:color w:val="000000"/>
                <w:sz w:val="20"/>
                <w:szCs w:val="20"/>
                <w:lang w:eastAsia="pl-PL"/>
              </w:rPr>
              <w:t xml:space="preserve">Wydział Spraw Społecznych Urzędu Miejskiego w Suwałkach </w:t>
            </w:r>
          </w:p>
        </w:tc>
      </w:tr>
      <w:tr w:rsidR="00727181" w:rsidRPr="00AD4E86" w:rsidTr="00AD6802">
        <w:trPr>
          <w:trHeight w:val="405"/>
        </w:trPr>
        <w:tc>
          <w:tcPr>
            <w:tcW w:w="1147" w:type="dxa"/>
            <w:tcBorders>
              <w:top w:val="nil"/>
              <w:left w:val="single" w:sz="8" w:space="0" w:color="4F81BD"/>
              <w:bottom w:val="single" w:sz="8" w:space="0" w:color="4F81BD"/>
              <w:right w:val="nil"/>
            </w:tcBorders>
            <w:shd w:val="clear" w:color="auto" w:fill="auto"/>
            <w:hideMark/>
          </w:tcPr>
          <w:p w:rsidR="00727181" w:rsidRPr="00AD4E86" w:rsidRDefault="00727181" w:rsidP="00AD6802">
            <w:pPr>
              <w:spacing w:after="0" w:line="240" w:lineRule="auto"/>
              <w:rPr>
                <w:rFonts w:ascii="Cambria" w:eastAsia="Times New Roman" w:hAnsi="Cambria" w:cs="Arial"/>
                <w:b/>
                <w:bCs/>
                <w:color w:val="000000"/>
                <w:sz w:val="20"/>
                <w:szCs w:val="20"/>
                <w:lang w:eastAsia="pl-PL"/>
              </w:rPr>
            </w:pPr>
            <w:r>
              <w:rPr>
                <w:rFonts w:ascii="Cambria" w:eastAsia="Times New Roman" w:hAnsi="Cambria" w:cs="Arial"/>
                <w:b/>
                <w:bCs/>
                <w:color w:val="000000"/>
                <w:sz w:val="20"/>
                <w:szCs w:val="20"/>
                <w:lang w:eastAsia="pl-PL"/>
              </w:rPr>
              <w:t>SIRT</w:t>
            </w:r>
          </w:p>
        </w:tc>
        <w:tc>
          <w:tcPr>
            <w:tcW w:w="8960" w:type="dxa"/>
            <w:tcBorders>
              <w:top w:val="nil"/>
              <w:left w:val="nil"/>
              <w:bottom w:val="single" w:sz="8" w:space="0" w:color="4F81BD"/>
              <w:right w:val="single" w:sz="8" w:space="0" w:color="4F81BD"/>
            </w:tcBorders>
            <w:shd w:val="clear" w:color="auto" w:fill="auto"/>
            <w:hideMark/>
          </w:tcPr>
          <w:p w:rsidR="00727181" w:rsidRPr="00AD4E86" w:rsidRDefault="00727181" w:rsidP="00AD6802">
            <w:pPr>
              <w:spacing w:after="0" w:line="240" w:lineRule="auto"/>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 xml:space="preserve">Suwalska Izba Rolniczo-Turystyczna </w:t>
            </w:r>
          </w:p>
        </w:tc>
      </w:tr>
      <w:tr w:rsidR="00727181" w:rsidRPr="00AD4E86" w:rsidTr="00AD6802">
        <w:trPr>
          <w:trHeight w:val="405"/>
        </w:trPr>
        <w:tc>
          <w:tcPr>
            <w:tcW w:w="1147" w:type="dxa"/>
            <w:tcBorders>
              <w:top w:val="nil"/>
              <w:left w:val="single" w:sz="8" w:space="0" w:color="4F81BD"/>
              <w:bottom w:val="single" w:sz="8" w:space="0" w:color="4F81BD"/>
              <w:right w:val="nil"/>
            </w:tcBorders>
            <w:shd w:val="clear" w:color="auto" w:fill="auto"/>
            <w:hideMark/>
          </w:tcPr>
          <w:p w:rsidR="00727181" w:rsidRPr="00AD4E86" w:rsidRDefault="00727181" w:rsidP="00AD6802">
            <w:pPr>
              <w:spacing w:after="0" w:line="240" w:lineRule="auto"/>
              <w:rPr>
                <w:rFonts w:ascii="Cambria" w:eastAsia="Times New Roman" w:hAnsi="Cambria" w:cs="Arial"/>
                <w:b/>
                <w:bCs/>
                <w:color w:val="000000"/>
                <w:sz w:val="20"/>
                <w:szCs w:val="20"/>
                <w:lang w:eastAsia="pl-PL"/>
              </w:rPr>
            </w:pPr>
            <w:r>
              <w:rPr>
                <w:rFonts w:ascii="Cambria" w:eastAsia="Times New Roman" w:hAnsi="Cambria" w:cs="Arial"/>
                <w:b/>
                <w:bCs/>
                <w:color w:val="000000"/>
                <w:sz w:val="20"/>
                <w:szCs w:val="20"/>
                <w:lang w:eastAsia="pl-PL"/>
              </w:rPr>
              <w:t>SOK</w:t>
            </w:r>
          </w:p>
        </w:tc>
        <w:tc>
          <w:tcPr>
            <w:tcW w:w="8960" w:type="dxa"/>
            <w:tcBorders>
              <w:top w:val="nil"/>
              <w:left w:val="nil"/>
              <w:bottom w:val="single" w:sz="8" w:space="0" w:color="4F81BD"/>
              <w:right w:val="single" w:sz="8" w:space="0" w:color="4F81BD"/>
            </w:tcBorders>
            <w:shd w:val="clear" w:color="auto" w:fill="auto"/>
            <w:hideMark/>
          </w:tcPr>
          <w:p w:rsidR="00727181" w:rsidRPr="00AD4E86" w:rsidRDefault="00727181" w:rsidP="00AD6802">
            <w:pPr>
              <w:spacing w:after="0" w:line="240" w:lineRule="auto"/>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Suwalski Ośrodek Kultury</w:t>
            </w:r>
          </w:p>
        </w:tc>
      </w:tr>
      <w:tr w:rsidR="00062E30" w:rsidRPr="00AD4E86" w:rsidTr="00AD6802">
        <w:trPr>
          <w:trHeight w:val="405"/>
        </w:trPr>
        <w:tc>
          <w:tcPr>
            <w:tcW w:w="1147" w:type="dxa"/>
            <w:tcBorders>
              <w:top w:val="nil"/>
              <w:left w:val="single" w:sz="8" w:space="0" w:color="4F81BD"/>
              <w:bottom w:val="single" w:sz="8" w:space="0" w:color="4F81BD"/>
              <w:right w:val="nil"/>
            </w:tcBorders>
            <w:shd w:val="clear" w:color="auto" w:fill="auto"/>
            <w:hideMark/>
          </w:tcPr>
          <w:p w:rsidR="00062E30" w:rsidRDefault="00062E30" w:rsidP="00AD6802">
            <w:pPr>
              <w:spacing w:after="0" w:line="240" w:lineRule="auto"/>
              <w:rPr>
                <w:rFonts w:ascii="Cambria" w:eastAsia="Times New Roman" w:hAnsi="Cambria" w:cs="Arial"/>
                <w:b/>
                <w:bCs/>
                <w:color w:val="000000"/>
                <w:sz w:val="20"/>
                <w:szCs w:val="20"/>
                <w:lang w:eastAsia="pl-PL"/>
              </w:rPr>
            </w:pPr>
            <w:r>
              <w:rPr>
                <w:rFonts w:ascii="Cambria" w:eastAsia="Times New Roman" w:hAnsi="Cambria" w:cs="Arial"/>
                <w:b/>
                <w:bCs/>
                <w:color w:val="000000"/>
                <w:sz w:val="20"/>
                <w:szCs w:val="20"/>
                <w:lang w:eastAsia="pl-PL"/>
              </w:rPr>
              <w:t>SOT</w:t>
            </w:r>
          </w:p>
        </w:tc>
        <w:tc>
          <w:tcPr>
            <w:tcW w:w="8960" w:type="dxa"/>
            <w:tcBorders>
              <w:top w:val="nil"/>
              <w:left w:val="nil"/>
              <w:bottom w:val="single" w:sz="8" w:space="0" w:color="4F81BD"/>
              <w:right w:val="single" w:sz="8" w:space="0" w:color="4F81BD"/>
            </w:tcBorders>
            <w:shd w:val="clear" w:color="auto" w:fill="auto"/>
            <w:hideMark/>
          </w:tcPr>
          <w:p w:rsidR="00062E30" w:rsidRDefault="00062E30" w:rsidP="00AD6802">
            <w:pPr>
              <w:spacing w:after="0" w:line="240" w:lineRule="auto"/>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Suwalska Organizacja Turystyczna</w:t>
            </w:r>
          </w:p>
        </w:tc>
      </w:tr>
      <w:tr w:rsidR="00D46446" w:rsidRPr="00AD4E86" w:rsidTr="00AD6802">
        <w:trPr>
          <w:trHeight w:val="405"/>
        </w:trPr>
        <w:tc>
          <w:tcPr>
            <w:tcW w:w="1147" w:type="dxa"/>
            <w:tcBorders>
              <w:top w:val="nil"/>
              <w:left w:val="single" w:sz="8" w:space="0" w:color="4F81BD"/>
              <w:bottom w:val="single" w:sz="8" w:space="0" w:color="4F81BD"/>
              <w:right w:val="nil"/>
            </w:tcBorders>
            <w:shd w:val="clear" w:color="auto" w:fill="auto"/>
            <w:hideMark/>
          </w:tcPr>
          <w:p w:rsidR="00D46446" w:rsidRPr="00AD4E86" w:rsidRDefault="00D46446" w:rsidP="00AD6802">
            <w:pPr>
              <w:spacing w:after="0" w:line="240" w:lineRule="auto"/>
              <w:rPr>
                <w:rFonts w:ascii="Cambria" w:eastAsia="Times New Roman" w:hAnsi="Cambria" w:cs="Arial"/>
                <w:b/>
                <w:bCs/>
                <w:color w:val="000000"/>
                <w:sz w:val="20"/>
                <w:szCs w:val="20"/>
                <w:lang w:eastAsia="pl-PL"/>
              </w:rPr>
            </w:pPr>
            <w:r>
              <w:rPr>
                <w:rFonts w:ascii="Cambria" w:eastAsia="Times New Roman" w:hAnsi="Cambria" w:cs="Arial"/>
                <w:b/>
                <w:bCs/>
                <w:color w:val="000000"/>
                <w:sz w:val="20"/>
                <w:szCs w:val="20"/>
                <w:lang w:eastAsia="pl-PL"/>
              </w:rPr>
              <w:t>UE</w:t>
            </w:r>
          </w:p>
        </w:tc>
        <w:tc>
          <w:tcPr>
            <w:tcW w:w="8960" w:type="dxa"/>
            <w:tcBorders>
              <w:top w:val="nil"/>
              <w:left w:val="nil"/>
              <w:bottom w:val="single" w:sz="8" w:space="0" w:color="4F81BD"/>
              <w:right w:val="single" w:sz="8" w:space="0" w:color="4F81BD"/>
            </w:tcBorders>
            <w:shd w:val="clear" w:color="auto" w:fill="auto"/>
            <w:hideMark/>
          </w:tcPr>
          <w:p w:rsidR="00D46446" w:rsidRPr="00AD4E86" w:rsidRDefault="00D46446" w:rsidP="00AD6802">
            <w:pPr>
              <w:spacing w:after="0" w:line="240" w:lineRule="auto"/>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Unia Europejska</w:t>
            </w:r>
          </w:p>
        </w:tc>
      </w:tr>
      <w:tr w:rsidR="00727181" w:rsidRPr="00AD4E86" w:rsidTr="00AD6802">
        <w:trPr>
          <w:trHeight w:val="405"/>
        </w:trPr>
        <w:tc>
          <w:tcPr>
            <w:tcW w:w="1147" w:type="dxa"/>
            <w:tcBorders>
              <w:top w:val="nil"/>
              <w:left w:val="single" w:sz="8" w:space="0" w:color="4F81BD"/>
              <w:bottom w:val="single" w:sz="8" w:space="0" w:color="4F81BD"/>
              <w:right w:val="nil"/>
            </w:tcBorders>
            <w:shd w:val="clear" w:color="auto" w:fill="auto"/>
            <w:hideMark/>
          </w:tcPr>
          <w:p w:rsidR="00727181" w:rsidRPr="00AD4E86" w:rsidRDefault="00727181" w:rsidP="00AD6802">
            <w:pPr>
              <w:spacing w:after="0" w:line="240" w:lineRule="auto"/>
              <w:rPr>
                <w:rFonts w:ascii="Cambria" w:eastAsia="Times New Roman" w:hAnsi="Cambria" w:cs="Arial"/>
                <w:b/>
                <w:bCs/>
                <w:color w:val="000000"/>
                <w:sz w:val="20"/>
                <w:szCs w:val="20"/>
                <w:lang w:eastAsia="pl-PL"/>
              </w:rPr>
            </w:pPr>
            <w:r w:rsidRPr="00AD4E86">
              <w:rPr>
                <w:rFonts w:ascii="Cambria" w:eastAsia="Times New Roman" w:hAnsi="Cambria" w:cs="Arial"/>
                <w:b/>
                <w:bCs/>
                <w:color w:val="000000"/>
                <w:sz w:val="20"/>
                <w:szCs w:val="20"/>
                <w:lang w:eastAsia="pl-PL"/>
              </w:rPr>
              <w:t xml:space="preserve">ZBM </w:t>
            </w:r>
          </w:p>
        </w:tc>
        <w:tc>
          <w:tcPr>
            <w:tcW w:w="8960" w:type="dxa"/>
            <w:tcBorders>
              <w:top w:val="nil"/>
              <w:left w:val="nil"/>
              <w:bottom w:val="single" w:sz="8" w:space="0" w:color="4F81BD"/>
              <w:right w:val="single" w:sz="8" w:space="0" w:color="4F81BD"/>
            </w:tcBorders>
            <w:shd w:val="clear" w:color="auto" w:fill="auto"/>
            <w:hideMark/>
          </w:tcPr>
          <w:p w:rsidR="00727181" w:rsidRPr="00AD4E86" w:rsidRDefault="00727181" w:rsidP="00AD6802">
            <w:pPr>
              <w:spacing w:after="0" w:line="240" w:lineRule="auto"/>
              <w:rPr>
                <w:rFonts w:ascii="Cambria" w:eastAsia="Times New Roman" w:hAnsi="Cambria" w:cs="Arial"/>
                <w:color w:val="000000"/>
                <w:sz w:val="20"/>
                <w:szCs w:val="20"/>
                <w:lang w:eastAsia="pl-PL"/>
              </w:rPr>
            </w:pPr>
            <w:r w:rsidRPr="00AD4E86">
              <w:rPr>
                <w:rFonts w:ascii="Cambria" w:eastAsia="Times New Roman" w:hAnsi="Cambria" w:cs="Arial"/>
                <w:color w:val="000000"/>
                <w:sz w:val="20"/>
                <w:szCs w:val="20"/>
                <w:lang w:eastAsia="pl-PL"/>
              </w:rPr>
              <w:t xml:space="preserve">Zarząd Budynków Mieszkalnych w Suwałkach </w:t>
            </w:r>
          </w:p>
        </w:tc>
      </w:tr>
      <w:tr w:rsidR="00727181" w:rsidRPr="00AD4E86" w:rsidTr="00AD6802">
        <w:trPr>
          <w:trHeight w:val="405"/>
        </w:trPr>
        <w:tc>
          <w:tcPr>
            <w:tcW w:w="1147" w:type="dxa"/>
            <w:tcBorders>
              <w:top w:val="nil"/>
              <w:left w:val="single" w:sz="8" w:space="0" w:color="4F81BD"/>
              <w:bottom w:val="single" w:sz="8" w:space="0" w:color="4F81BD"/>
              <w:right w:val="nil"/>
            </w:tcBorders>
            <w:shd w:val="clear" w:color="auto" w:fill="auto"/>
            <w:hideMark/>
          </w:tcPr>
          <w:p w:rsidR="00727181" w:rsidRPr="00AD4E86" w:rsidRDefault="00727181" w:rsidP="00AD6802">
            <w:pPr>
              <w:spacing w:after="0" w:line="240" w:lineRule="auto"/>
              <w:rPr>
                <w:rFonts w:ascii="Cambria" w:eastAsia="Times New Roman" w:hAnsi="Cambria" w:cs="Arial"/>
                <w:b/>
                <w:bCs/>
                <w:color w:val="000000"/>
                <w:sz w:val="20"/>
                <w:szCs w:val="20"/>
                <w:lang w:eastAsia="pl-PL"/>
              </w:rPr>
            </w:pPr>
            <w:r w:rsidRPr="00AD4E86">
              <w:rPr>
                <w:rFonts w:ascii="Cambria" w:eastAsia="Times New Roman" w:hAnsi="Cambria" w:cs="Arial"/>
                <w:b/>
                <w:bCs/>
                <w:color w:val="000000"/>
                <w:sz w:val="20"/>
                <w:szCs w:val="20"/>
                <w:lang w:eastAsia="pl-PL"/>
              </w:rPr>
              <w:t>ZDiZ</w:t>
            </w:r>
          </w:p>
        </w:tc>
        <w:tc>
          <w:tcPr>
            <w:tcW w:w="8960" w:type="dxa"/>
            <w:tcBorders>
              <w:top w:val="nil"/>
              <w:left w:val="nil"/>
              <w:bottom w:val="single" w:sz="8" w:space="0" w:color="4F81BD"/>
              <w:right w:val="single" w:sz="8" w:space="0" w:color="4F81BD"/>
            </w:tcBorders>
            <w:shd w:val="clear" w:color="auto" w:fill="auto"/>
            <w:hideMark/>
          </w:tcPr>
          <w:p w:rsidR="00727181" w:rsidRPr="00AD4E86" w:rsidRDefault="00727181" w:rsidP="00AD6802">
            <w:pPr>
              <w:spacing w:after="0" w:line="240" w:lineRule="auto"/>
              <w:rPr>
                <w:rFonts w:ascii="Cambria" w:eastAsia="Times New Roman" w:hAnsi="Cambria" w:cs="Arial"/>
                <w:color w:val="000000"/>
                <w:sz w:val="20"/>
                <w:szCs w:val="20"/>
                <w:lang w:eastAsia="pl-PL"/>
              </w:rPr>
            </w:pPr>
            <w:r w:rsidRPr="00AD4E86">
              <w:rPr>
                <w:rFonts w:ascii="Cambria" w:eastAsia="Times New Roman" w:hAnsi="Cambria" w:cs="Arial"/>
                <w:color w:val="000000"/>
                <w:sz w:val="20"/>
                <w:szCs w:val="20"/>
                <w:lang w:eastAsia="pl-PL"/>
              </w:rPr>
              <w:t xml:space="preserve">Zarząd Dróg i Zieleni w Suwałkach </w:t>
            </w:r>
          </w:p>
        </w:tc>
      </w:tr>
    </w:tbl>
    <w:p w:rsidR="00727181" w:rsidRDefault="00727181" w:rsidP="00727181"/>
    <w:p w:rsidR="00D46446" w:rsidRDefault="00D46446" w:rsidP="00727181"/>
    <w:p w:rsidR="00D46446" w:rsidRDefault="00D46446" w:rsidP="00727181"/>
    <w:p w:rsidR="00D46446" w:rsidRDefault="00D46446" w:rsidP="00727181"/>
    <w:p w:rsidR="00D46446" w:rsidRDefault="00D46446" w:rsidP="00727181"/>
    <w:p w:rsidR="00D46446" w:rsidRPr="00727181" w:rsidRDefault="00D46446" w:rsidP="00727181"/>
    <w:p w:rsidR="00EA06B6" w:rsidRDefault="00EA06B6" w:rsidP="00FE3FC5">
      <w:pPr>
        <w:pStyle w:val="Nagwek1"/>
        <w:numPr>
          <w:ilvl w:val="0"/>
          <w:numId w:val="7"/>
        </w:numPr>
      </w:pPr>
      <w:bookmarkStart w:id="1" w:name="_Toc390759467"/>
      <w:r>
        <w:t>Wstęp</w:t>
      </w:r>
      <w:bookmarkEnd w:id="1"/>
    </w:p>
    <w:p w:rsidR="00A67646" w:rsidRDefault="00A67646" w:rsidP="00CA0AD7">
      <w:pPr>
        <w:autoSpaceDE w:val="0"/>
        <w:autoSpaceDN w:val="0"/>
        <w:adjustRightInd w:val="0"/>
        <w:spacing w:after="0" w:line="240" w:lineRule="auto"/>
        <w:ind w:left="360"/>
        <w:jc w:val="both"/>
        <w:rPr>
          <w:rFonts w:cs="TimesNewRoman"/>
        </w:rPr>
      </w:pPr>
    </w:p>
    <w:p w:rsidR="00CA0AD7" w:rsidRPr="00CA0AD7" w:rsidRDefault="006072CE" w:rsidP="00A67646">
      <w:pPr>
        <w:autoSpaceDE w:val="0"/>
        <w:autoSpaceDN w:val="0"/>
        <w:adjustRightInd w:val="0"/>
        <w:spacing w:after="0" w:line="240" w:lineRule="auto"/>
        <w:jc w:val="both"/>
        <w:rPr>
          <w:rFonts w:cs="TimesNewRoman"/>
        </w:rPr>
      </w:pPr>
      <w:r>
        <w:rPr>
          <w:rFonts w:cs="TimesNewRoman"/>
        </w:rPr>
        <w:t>Ramy realizacji polityk finansowanych ze środków unijnych okre</w:t>
      </w:r>
      <w:r w:rsidR="0083307E">
        <w:rPr>
          <w:rFonts w:cs="TimesNewRoman"/>
        </w:rPr>
        <w:t>śla dokument strategiczny dla Unii Europejskiej</w:t>
      </w:r>
      <w:r>
        <w:rPr>
          <w:rFonts w:cs="TimesNewRoman"/>
        </w:rPr>
        <w:t xml:space="preserve"> „</w:t>
      </w:r>
      <w:r w:rsidRPr="00CA0AD7">
        <w:rPr>
          <w:rFonts w:cs="TimesNewRoman"/>
        </w:rPr>
        <w:t>Strategia Europa 2020</w:t>
      </w:r>
      <w:r>
        <w:rPr>
          <w:rFonts w:cs="TimesNewRoman"/>
        </w:rPr>
        <w:t xml:space="preserve">”. </w:t>
      </w:r>
      <w:r w:rsidR="00750042">
        <w:rPr>
          <w:rFonts w:cs="TimesNewRoman"/>
        </w:rPr>
        <w:t xml:space="preserve">Motywem przewodnim przyszłej perspektywy finansowej na lata 2014-2020 </w:t>
      </w:r>
      <w:r>
        <w:rPr>
          <w:rFonts w:cs="TimesNewRoman"/>
        </w:rPr>
        <w:t>stają się</w:t>
      </w:r>
      <w:r w:rsidR="00750042">
        <w:rPr>
          <w:rFonts w:cs="TimesNewRoman"/>
        </w:rPr>
        <w:t xml:space="preserve"> kwestie gospodarcze. Autorzy dostrzegają konieczność przeformułowania polityk europejskich w związku z kryzysem, który odsłonił strukturalne słabości europejskiej gospodarki. </w:t>
      </w:r>
      <w:r>
        <w:rPr>
          <w:rFonts w:cs="TimesNewRoman"/>
        </w:rPr>
        <w:t>Interwencje finansowane ze środków UE będą koncentrować się zatem wokół trzech</w:t>
      </w:r>
      <w:r w:rsidR="00CA0AD7" w:rsidRPr="00CA0AD7">
        <w:rPr>
          <w:rFonts w:cs="TimesNewRoman"/>
        </w:rPr>
        <w:t xml:space="preserve"> wzajemnie ze sobą powią</w:t>
      </w:r>
      <w:r>
        <w:rPr>
          <w:rFonts w:cs="TimesNewRoman"/>
        </w:rPr>
        <w:t>zanych</w:t>
      </w:r>
      <w:r w:rsidR="00CA0AD7" w:rsidRPr="00CA0AD7">
        <w:rPr>
          <w:rFonts w:cs="TimesNewRoman"/>
        </w:rPr>
        <w:t xml:space="preserve"> priorytet</w:t>
      </w:r>
      <w:r>
        <w:rPr>
          <w:rFonts w:cs="TimesNewRoman"/>
        </w:rPr>
        <w:t>ów</w:t>
      </w:r>
      <w:r w:rsidR="00CA0AD7">
        <w:rPr>
          <w:rStyle w:val="Odwoanieprzypisudolnego"/>
          <w:rFonts w:cs="TimesNewRoman"/>
        </w:rPr>
        <w:footnoteReference w:id="1"/>
      </w:r>
      <w:r w:rsidR="00CA0AD7" w:rsidRPr="00CA0AD7">
        <w:rPr>
          <w:rFonts w:cs="TimesNewRoman"/>
        </w:rPr>
        <w:t>:</w:t>
      </w:r>
    </w:p>
    <w:p w:rsidR="00CA0AD7" w:rsidRDefault="00CA0AD7" w:rsidP="00A67646">
      <w:pPr>
        <w:pStyle w:val="Akapitzlist"/>
        <w:numPr>
          <w:ilvl w:val="0"/>
          <w:numId w:val="31"/>
        </w:numPr>
        <w:autoSpaceDE w:val="0"/>
        <w:autoSpaceDN w:val="0"/>
        <w:adjustRightInd w:val="0"/>
        <w:spacing w:after="0" w:line="240" w:lineRule="auto"/>
        <w:ind w:left="360"/>
        <w:jc w:val="both"/>
        <w:rPr>
          <w:rFonts w:cs="TimesNewRoman"/>
        </w:rPr>
      </w:pPr>
      <w:r w:rsidRPr="006072CE">
        <w:rPr>
          <w:rFonts w:cs="TimesNewRoman"/>
          <w:b/>
        </w:rPr>
        <w:t>rozwój inteligentny</w:t>
      </w:r>
      <w:r w:rsidRPr="00CA0AD7">
        <w:rPr>
          <w:rFonts w:cs="TimesNewRoman"/>
        </w:rPr>
        <w:t>: rozwój gospodarki opartej na wiedzy i innowacji;</w:t>
      </w:r>
    </w:p>
    <w:p w:rsidR="00CA0AD7" w:rsidRDefault="00CA0AD7" w:rsidP="00A67646">
      <w:pPr>
        <w:pStyle w:val="Akapitzlist"/>
        <w:numPr>
          <w:ilvl w:val="0"/>
          <w:numId w:val="31"/>
        </w:numPr>
        <w:autoSpaceDE w:val="0"/>
        <w:autoSpaceDN w:val="0"/>
        <w:adjustRightInd w:val="0"/>
        <w:spacing w:after="0" w:line="240" w:lineRule="auto"/>
        <w:ind w:left="360"/>
        <w:jc w:val="both"/>
        <w:rPr>
          <w:rFonts w:cs="TimesNewRoman"/>
        </w:rPr>
      </w:pPr>
      <w:r w:rsidRPr="006072CE">
        <w:rPr>
          <w:rFonts w:cs="TimesNewRoman"/>
          <w:b/>
        </w:rPr>
        <w:t>rozwój zrównoważony</w:t>
      </w:r>
      <w:r w:rsidRPr="00CA0AD7">
        <w:rPr>
          <w:rFonts w:cs="TimesNewRoman"/>
        </w:rPr>
        <w:t>: wspieranie gospodarki efektywniej korzystającej z zasobów, bardziej przyjaznej środowisku i bardziej konkurencyjnej;</w:t>
      </w:r>
    </w:p>
    <w:p w:rsidR="00CA0AD7" w:rsidRDefault="00CA0AD7" w:rsidP="00187394">
      <w:pPr>
        <w:pStyle w:val="Akapitzlist"/>
        <w:numPr>
          <w:ilvl w:val="0"/>
          <w:numId w:val="31"/>
        </w:numPr>
        <w:autoSpaceDE w:val="0"/>
        <w:autoSpaceDN w:val="0"/>
        <w:adjustRightInd w:val="0"/>
        <w:spacing w:after="0" w:line="240" w:lineRule="auto"/>
        <w:ind w:left="360"/>
        <w:jc w:val="both"/>
        <w:rPr>
          <w:rFonts w:cs="TimesNewRoman"/>
        </w:rPr>
      </w:pPr>
      <w:r w:rsidRPr="006072CE">
        <w:rPr>
          <w:rFonts w:cs="TimesNewRoman"/>
          <w:b/>
        </w:rPr>
        <w:t>rozwój sprzyjający włączeniu społecznemu</w:t>
      </w:r>
      <w:r w:rsidRPr="00CA0AD7">
        <w:rPr>
          <w:rFonts w:cs="TimesNewRoman"/>
        </w:rPr>
        <w:t>: wspieranie gospodarki o wysokim poziomie</w:t>
      </w:r>
      <w:r w:rsidR="00187394">
        <w:rPr>
          <w:rFonts w:cs="TimesNewRoman"/>
        </w:rPr>
        <w:t xml:space="preserve"> </w:t>
      </w:r>
      <w:r w:rsidRPr="00187394">
        <w:rPr>
          <w:rFonts w:cs="TimesNewRoman"/>
        </w:rPr>
        <w:t>zatrudnienia, zapewniającej spójność społeczną i terytorialną.</w:t>
      </w:r>
    </w:p>
    <w:p w:rsidR="00187394" w:rsidRPr="00187394" w:rsidRDefault="00187394" w:rsidP="00187394">
      <w:pPr>
        <w:pStyle w:val="Akapitzlist"/>
        <w:autoSpaceDE w:val="0"/>
        <w:autoSpaceDN w:val="0"/>
        <w:adjustRightInd w:val="0"/>
        <w:spacing w:after="0" w:line="240" w:lineRule="auto"/>
        <w:ind w:left="360"/>
        <w:jc w:val="both"/>
        <w:rPr>
          <w:rFonts w:cs="TimesNewRoman"/>
        </w:rPr>
      </w:pPr>
    </w:p>
    <w:p w:rsidR="006072CE" w:rsidRDefault="006072CE" w:rsidP="00A67646">
      <w:pPr>
        <w:spacing w:after="0" w:line="240" w:lineRule="auto"/>
        <w:jc w:val="both"/>
      </w:pPr>
      <w:r>
        <w:t>W ślad za dokumentem europejskim, filozofia zakładająca konieczność koncentracji na obsz</w:t>
      </w:r>
      <w:r w:rsidR="008A1FE3">
        <w:t xml:space="preserve">arach tematycznych powiązanych </w:t>
      </w:r>
      <w:r>
        <w:t>z gospodarką, znajduje swoje odzwierciedlenie w dokumentach określających wizję rozwoju na szczeblu krajowym oraz regionalnym.</w:t>
      </w:r>
    </w:p>
    <w:p w:rsidR="006072CE" w:rsidRDefault="006072CE" w:rsidP="00A67646">
      <w:pPr>
        <w:spacing w:after="0" w:line="240" w:lineRule="auto"/>
        <w:jc w:val="both"/>
      </w:pPr>
    </w:p>
    <w:p w:rsidR="006072CE" w:rsidRDefault="006072CE" w:rsidP="00A67646">
      <w:pPr>
        <w:spacing w:after="0" w:line="240" w:lineRule="auto"/>
        <w:jc w:val="both"/>
        <w:rPr>
          <w:b/>
        </w:rPr>
      </w:pPr>
      <w:r>
        <w:t>Filozofię taką przyjmuje także „Strategia Rozwoju Województwa Podlaskiego do roku 2020”</w:t>
      </w:r>
      <w:r w:rsidR="00A67646">
        <w:t xml:space="preserve"> określając je jako region, który ma być zielony, otwarty, dostępny </w:t>
      </w:r>
      <w:r w:rsidR="0083307E">
        <w:t xml:space="preserve">oraz </w:t>
      </w:r>
      <w:r w:rsidR="00A67646" w:rsidRPr="00A67646">
        <w:rPr>
          <w:b/>
        </w:rPr>
        <w:t>przedsiębiorczy.</w:t>
      </w:r>
    </w:p>
    <w:p w:rsidR="00A67646" w:rsidRPr="00A67646" w:rsidRDefault="00A67646" w:rsidP="00A67646">
      <w:pPr>
        <w:spacing w:after="0" w:line="240" w:lineRule="auto"/>
        <w:jc w:val="both"/>
        <w:rPr>
          <w:b/>
        </w:rPr>
      </w:pPr>
    </w:p>
    <w:p w:rsidR="00EE2587" w:rsidRDefault="00A67646" w:rsidP="00A67646">
      <w:pPr>
        <w:spacing w:after="0" w:line="240" w:lineRule="auto"/>
        <w:jc w:val="both"/>
      </w:pPr>
      <w:r>
        <w:t xml:space="preserve">Wątek przedsiębiorczości podejmuje również </w:t>
      </w:r>
      <w:r w:rsidR="0083307E">
        <w:t xml:space="preserve">nowa </w:t>
      </w:r>
      <w:r w:rsidR="00EE2587">
        <w:t>„Strategia Zrównoważonego Rozwoju Miasta Suwałki do roku 2020”</w:t>
      </w:r>
      <w:r>
        <w:t xml:space="preserve">, czyniąc z niego oś działań na rzecz wzrostu i konkurencyjności gospodarczej. Strategia </w:t>
      </w:r>
      <w:r w:rsidR="00EE2587">
        <w:t xml:space="preserve"> identyfikuje 5 celów strategicznych, wokół których mają się koncentrować działania</w:t>
      </w:r>
      <w:r w:rsidR="006C2ADA">
        <w:t xml:space="preserve"> i zadania realizacyjne w perspektywie czasowej do roku 2020. Struktura celów wyróżnia dwa cele wertykalne i trzy cele horyzontalne, stanowią</w:t>
      </w:r>
      <w:r>
        <w:t>ce</w:t>
      </w:r>
      <w:r w:rsidR="006C2ADA">
        <w:t xml:space="preserve"> podstawę do realizacji celów wertykalnych. Pierwszym</w:t>
      </w:r>
      <w:r>
        <w:t xml:space="preserve"> i najważniejszym</w:t>
      </w:r>
      <w:r w:rsidR="006C2ADA">
        <w:t xml:space="preserve"> celem strategicznym jest </w:t>
      </w:r>
      <w:r w:rsidR="006C2ADA" w:rsidRPr="00A67646">
        <w:rPr>
          <w:b/>
        </w:rPr>
        <w:t>wzrost konkurencyjności gospodarczej</w:t>
      </w:r>
      <w:r w:rsidR="006C2ADA">
        <w:t>.</w:t>
      </w:r>
      <w:r>
        <w:t xml:space="preserve"> Cel ten ma być realizowany przez następujące cele operacyjne:</w:t>
      </w:r>
    </w:p>
    <w:p w:rsidR="00A67646" w:rsidRDefault="00A67646" w:rsidP="00A67646">
      <w:pPr>
        <w:pStyle w:val="Akapitzlist"/>
        <w:numPr>
          <w:ilvl w:val="0"/>
          <w:numId w:val="32"/>
        </w:numPr>
        <w:spacing w:after="0" w:line="240" w:lineRule="auto"/>
        <w:jc w:val="both"/>
      </w:pPr>
      <w:r w:rsidRPr="00A67646">
        <w:t>Wzrost innowacyjności gospodarki</w:t>
      </w:r>
      <w:r>
        <w:t>;</w:t>
      </w:r>
    </w:p>
    <w:p w:rsidR="00A67646" w:rsidRDefault="00A67646" w:rsidP="00A67646">
      <w:pPr>
        <w:pStyle w:val="Akapitzlist"/>
        <w:numPr>
          <w:ilvl w:val="0"/>
          <w:numId w:val="32"/>
        </w:numPr>
        <w:spacing w:after="0" w:line="240" w:lineRule="auto"/>
        <w:jc w:val="both"/>
      </w:pPr>
      <w:r w:rsidRPr="00A67646">
        <w:t>Poprawa infrastruktury technicznej dla celów gospodarczych</w:t>
      </w:r>
      <w:r>
        <w:t>;</w:t>
      </w:r>
    </w:p>
    <w:p w:rsidR="00A67646" w:rsidRDefault="00A67646" w:rsidP="00A67646">
      <w:pPr>
        <w:pStyle w:val="Akapitzlist"/>
        <w:numPr>
          <w:ilvl w:val="0"/>
          <w:numId w:val="32"/>
        </w:numPr>
        <w:spacing w:after="0" w:line="240" w:lineRule="auto"/>
        <w:jc w:val="both"/>
      </w:pPr>
      <w:r w:rsidRPr="00A67646">
        <w:t>Wzrost znaczenia przemysłów kreatywnych w rozwoju gospodarczym</w:t>
      </w:r>
      <w:r>
        <w:t>;</w:t>
      </w:r>
    </w:p>
    <w:p w:rsidR="00A67646" w:rsidRDefault="00A67646" w:rsidP="00A67646">
      <w:pPr>
        <w:pStyle w:val="Akapitzlist"/>
        <w:numPr>
          <w:ilvl w:val="0"/>
          <w:numId w:val="32"/>
        </w:numPr>
        <w:spacing w:after="0" w:line="240" w:lineRule="auto"/>
        <w:jc w:val="both"/>
      </w:pPr>
      <w:r w:rsidRPr="00A67646">
        <w:t>Wzrost przedsiębiorczości</w:t>
      </w:r>
      <w:r>
        <w:t>;</w:t>
      </w:r>
    </w:p>
    <w:p w:rsidR="00A67646" w:rsidRPr="00A67646" w:rsidRDefault="00A67646" w:rsidP="00A67646">
      <w:pPr>
        <w:pStyle w:val="Akapitzlist"/>
        <w:numPr>
          <w:ilvl w:val="0"/>
          <w:numId w:val="32"/>
        </w:numPr>
        <w:spacing w:after="0" w:line="240" w:lineRule="auto"/>
        <w:jc w:val="both"/>
      </w:pPr>
      <w:r w:rsidRPr="00A67646">
        <w:t>Wsparcie sektorów kluczowych dla miasta</w:t>
      </w:r>
      <w:r>
        <w:t>.</w:t>
      </w:r>
    </w:p>
    <w:p w:rsidR="00A65DD6" w:rsidRDefault="00A65DD6" w:rsidP="00A67646">
      <w:pPr>
        <w:spacing w:after="0" w:line="240" w:lineRule="auto"/>
        <w:jc w:val="both"/>
      </w:pPr>
    </w:p>
    <w:p w:rsidR="00F62219" w:rsidRDefault="00A65DD6" w:rsidP="00A67646">
      <w:pPr>
        <w:spacing w:after="0" w:line="240" w:lineRule="auto"/>
        <w:jc w:val="both"/>
      </w:pPr>
      <w:r>
        <w:t>Cele</w:t>
      </w:r>
      <w:r w:rsidR="0083307E">
        <w:t>m</w:t>
      </w:r>
      <w:r>
        <w:t xml:space="preserve"> operacyjnym zawierającym najszerszy katalog kierunków działań jest cel dotyczący wzrostu przedsiębiorczości, mający fundamentalne znaczenie dla realizacji celu strategicznego. </w:t>
      </w:r>
      <w:r w:rsidR="00A67646">
        <w:t>Wyrazem troski władz miasta o kompleksowe i skoordynowane wdrożenie działań w celu osiągnięcia wzrostu konkurencyjności</w:t>
      </w:r>
      <w:r w:rsidR="007775F3">
        <w:t xml:space="preserve"> jest opracowanie dokumentu sektorowego o charakterze wykonawczym, który w ślad za celami i kierunkami działań wytyczonymi w strategii będzie formułował szczegółowe i konkretne zadania realizacyjne.</w:t>
      </w:r>
      <w:r w:rsidR="00F62219">
        <w:t xml:space="preserve"> </w:t>
      </w:r>
    </w:p>
    <w:p w:rsidR="00F62219" w:rsidRDefault="00F62219" w:rsidP="00A67646">
      <w:pPr>
        <w:spacing w:after="0" w:line="240" w:lineRule="auto"/>
        <w:jc w:val="both"/>
      </w:pPr>
    </w:p>
    <w:p w:rsidR="007775F3" w:rsidRDefault="00F62219" w:rsidP="00A67646">
      <w:pPr>
        <w:spacing w:after="0" w:line="240" w:lineRule="auto"/>
        <w:jc w:val="both"/>
      </w:pPr>
      <w:r>
        <w:t>D</w:t>
      </w:r>
      <w:r w:rsidR="007775F3">
        <w:t>okumentem</w:t>
      </w:r>
      <w:r>
        <w:t xml:space="preserve"> tym</w:t>
      </w:r>
      <w:r w:rsidR="007775F3">
        <w:t xml:space="preserve"> będzie „Program Rozwoju Przedsiębiorczości w Suwałkach</w:t>
      </w:r>
      <w:r w:rsidR="00650416">
        <w:t xml:space="preserve"> na lata 2014-2020</w:t>
      </w:r>
      <w:r>
        <w:t>”.</w:t>
      </w:r>
    </w:p>
    <w:p w:rsidR="00550972" w:rsidRPr="00EA06B6" w:rsidRDefault="00550972" w:rsidP="00A67646">
      <w:pPr>
        <w:spacing w:after="0" w:line="240" w:lineRule="auto"/>
        <w:jc w:val="both"/>
      </w:pPr>
    </w:p>
    <w:p w:rsidR="005E16D5" w:rsidRPr="00633B62" w:rsidRDefault="005E16D5" w:rsidP="005E16D5">
      <w:pPr>
        <w:pStyle w:val="Nagwek1"/>
        <w:numPr>
          <w:ilvl w:val="0"/>
          <w:numId w:val="7"/>
        </w:numPr>
      </w:pPr>
      <w:bookmarkStart w:id="2" w:name="_Toc381097062"/>
      <w:bookmarkStart w:id="3" w:name="_Toc390759468"/>
      <w:r>
        <w:t>Diagnoza przedsiębiorczości w Suwałkach</w:t>
      </w:r>
      <w:bookmarkEnd w:id="2"/>
      <w:bookmarkEnd w:id="3"/>
    </w:p>
    <w:p w:rsidR="005E16D5" w:rsidRDefault="005E16D5" w:rsidP="00D86C6D">
      <w:pPr>
        <w:pStyle w:val="Nagwek2"/>
      </w:pPr>
      <w:bookmarkStart w:id="4" w:name="_Toc381097063"/>
      <w:bookmarkStart w:id="5" w:name="_Toc390759469"/>
      <w:r>
        <w:t>2.1. Liczba podmiotów gospodarczych</w:t>
      </w:r>
      <w:bookmarkEnd w:id="4"/>
      <w:bookmarkEnd w:id="5"/>
    </w:p>
    <w:p w:rsidR="00CE280C" w:rsidRPr="00CE280C" w:rsidRDefault="00CE280C" w:rsidP="00D86C6D">
      <w:pPr>
        <w:spacing w:after="0"/>
      </w:pPr>
    </w:p>
    <w:p w:rsidR="00550972" w:rsidRDefault="005E16D5" w:rsidP="00550972">
      <w:pPr>
        <w:spacing w:after="0" w:line="240" w:lineRule="auto"/>
        <w:jc w:val="both"/>
      </w:pPr>
      <w:r>
        <w:t>W Suwałkach</w:t>
      </w:r>
      <w:r w:rsidR="00550972">
        <w:t xml:space="preserve"> od kilku lat </w:t>
      </w:r>
      <w:r>
        <w:t>mamy do czynienia z powolnym spadkiem liczby podmiotów gospodarczych. Biorąc pod uwagę</w:t>
      </w:r>
      <w:r w:rsidR="00C440C2">
        <w:t xml:space="preserve"> najbliższe otoczenie miasta, ze spadkiem podmiotów borykają się również miasta Łomża i Ełk. Najlepszymi</w:t>
      </w:r>
      <w:r w:rsidR="00550972">
        <w:t xml:space="preserve"> wskaźnikami w tym zakresie może się pochwalić miasto Białystok gdzie l</w:t>
      </w:r>
      <w:r w:rsidR="00C440C2">
        <w:t xml:space="preserve">iczba podmiotów gospodarczych wzrosła </w:t>
      </w:r>
      <w:r w:rsidR="00C560F1">
        <w:t>na przestrzeni lat 2006</w:t>
      </w:r>
      <w:r w:rsidR="00C440C2">
        <w:t>-2012 od 100</w:t>
      </w:r>
      <w:r w:rsidR="00550972">
        <w:t xml:space="preserve"> do 110 na 1000 mieszkańców wykazując przy tym wyraźną tendencję wzrostową.</w:t>
      </w:r>
      <w:r w:rsidR="00C440C2">
        <w:t xml:space="preserve"> Wskaźnik liczby podmiotów gospodarczych wzrósł również ogółem w województwie podlaskim od poziomu 74 podmiotów w roku 2006 do poziomu 79 w roku 2012.</w:t>
      </w:r>
    </w:p>
    <w:p w:rsidR="005E16D5" w:rsidRDefault="005E16D5" w:rsidP="005E16D5">
      <w:pPr>
        <w:pStyle w:val="Akapitzlist"/>
        <w:spacing w:after="0" w:line="240" w:lineRule="auto"/>
        <w:ind w:left="0"/>
        <w:jc w:val="both"/>
        <w:rPr>
          <w:b/>
        </w:rPr>
      </w:pPr>
    </w:p>
    <w:p w:rsidR="005E16D5" w:rsidRDefault="005E16D5" w:rsidP="00F62219">
      <w:pPr>
        <w:pStyle w:val="Akapitzlist"/>
        <w:spacing w:after="0" w:line="240" w:lineRule="auto"/>
        <w:ind w:left="0"/>
        <w:jc w:val="both"/>
      </w:pPr>
      <w:r w:rsidRPr="00537018">
        <w:rPr>
          <w:b/>
        </w:rPr>
        <w:t>Wykres nr 1.</w:t>
      </w:r>
      <w:r>
        <w:t xml:space="preserve"> Liczba podmiotów gospodarczych na 1000 mieszkańców w latach </w:t>
      </w:r>
      <w:r w:rsidR="00550972">
        <w:t>2006-2012</w:t>
      </w:r>
    </w:p>
    <w:p w:rsidR="005E16D5" w:rsidRDefault="000729BA" w:rsidP="005E16D5">
      <w:pPr>
        <w:spacing w:after="0" w:line="240" w:lineRule="auto"/>
        <w:jc w:val="center"/>
      </w:pPr>
      <w:r>
        <w:rPr>
          <w:noProof/>
          <w:lang w:eastAsia="pl-PL"/>
        </w:rPr>
        <w:drawing>
          <wp:inline distT="0" distB="0" distL="0" distR="0">
            <wp:extent cx="5760720" cy="1880226"/>
            <wp:effectExtent l="0" t="0" r="0" b="635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6" w:name="_GoBack"/>
      <w:bookmarkEnd w:id="6"/>
    </w:p>
    <w:p w:rsidR="005E16D5" w:rsidRDefault="005E16D5" w:rsidP="005E16D5">
      <w:pPr>
        <w:spacing w:after="0" w:line="240" w:lineRule="auto"/>
      </w:pPr>
      <w:r>
        <w:t>Źródło: Opracowanie własne na podstawie danych Urzędu Statystycznego w Białymstoku</w:t>
      </w:r>
    </w:p>
    <w:p w:rsidR="005E16D5" w:rsidRDefault="005E16D5" w:rsidP="005E16D5">
      <w:pPr>
        <w:spacing w:after="0" w:line="240" w:lineRule="auto"/>
      </w:pPr>
    </w:p>
    <w:p w:rsidR="00C560F1" w:rsidRDefault="00C560F1" w:rsidP="00C560F1">
      <w:pPr>
        <w:spacing w:after="0" w:line="240" w:lineRule="auto"/>
        <w:jc w:val="both"/>
      </w:pPr>
      <w:r>
        <w:t xml:space="preserve">W porównaniu z najbliższym sąsiadami Suwałk, miastami Ełk i Łomża (Wykres nr 2), liczba podmiotów gospodarczych w Suwałkach jest zauważalnie wyższa. Należy również stwierdzić, że liczba podmiotów we wszystkich tych miastach ulegała podobnym wahaniom na przestrzeni </w:t>
      </w:r>
      <w:r w:rsidRPr="001011A0">
        <w:t xml:space="preserve">ostatnich ośmiu lat, </w:t>
      </w:r>
      <w:r>
        <w:t xml:space="preserve">tj. liczba podmiotów w Suwałkach i Łomży spadła (spadek o 286 podmiotów w Suwałkach i o 94 podmioty w Łomży), podczas gdy w Ełku mamy do czynienia z wzrostem aż o 109 podmiotów na przestrzeni ostatnich ośmiu lat. Należy jednak zauważyć, że w ostatnich trzech latach mamy do czynienia z wyraźną tendencją wzrostową zarówno w Suwałkach, jak i w Łomży i Ełku. </w:t>
      </w:r>
    </w:p>
    <w:p w:rsidR="00550972" w:rsidRDefault="00550972" w:rsidP="005E16D5">
      <w:pPr>
        <w:spacing w:after="0" w:line="240" w:lineRule="auto"/>
        <w:jc w:val="both"/>
      </w:pPr>
    </w:p>
    <w:p w:rsidR="005E16D5" w:rsidRDefault="005E16D5" w:rsidP="005E16D5">
      <w:pPr>
        <w:spacing w:after="0" w:line="240" w:lineRule="auto"/>
        <w:jc w:val="both"/>
      </w:pPr>
      <w:r w:rsidRPr="00031649">
        <w:rPr>
          <w:b/>
        </w:rPr>
        <w:t>Wykres nr 2.</w:t>
      </w:r>
      <w:r>
        <w:t xml:space="preserve"> Liczba podmi</w:t>
      </w:r>
      <w:r w:rsidR="00C560F1">
        <w:t>otów gospodarczych w latach 2006</w:t>
      </w:r>
      <w:r>
        <w:t>-2013</w:t>
      </w:r>
    </w:p>
    <w:p w:rsidR="005E16D5" w:rsidRDefault="00C560F1" w:rsidP="00C560F1">
      <w:pPr>
        <w:spacing w:after="0" w:line="240" w:lineRule="auto"/>
      </w:pPr>
      <w:r w:rsidRPr="00C560F1">
        <w:rPr>
          <w:noProof/>
          <w:lang w:eastAsia="pl-PL"/>
        </w:rPr>
        <w:drawing>
          <wp:inline distT="0" distB="0" distL="0" distR="0">
            <wp:extent cx="5572125" cy="2495550"/>
            <wp:effectExtent l="0" t="0" r="0" b="0"/>
            <wp:docPr id="9"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16D5" w:rsidRDefault="005E16D5" w:rsidP="005E16D5">
      <w:pPr>
        <w:spacing w:after="0" w:line="240" w:lineRule="auto"/>
      </w:pPr>
      <w:r>
        <w:t>Źródło: Opracowanie własne na podstawie danych Urzędu Statystycznego w Białymstoku</w:t>
      </w:r>
    </w:p>
    <w:p w:rsidR="005E16D5" w:rsidRDefault="005E16D5" w:rsidP="005E16D5">
      <w:pPr>
        <w:spacing w:after="0" w:line="240" w:lineRule="auto"/>
        <w:jc w:val="both"/>
      </w:pPr>
    </w:p>
    <w:p w:rsidR="00C560F1" w:rsidRDefault="00C560F1" w:rsidP="00C560F1">
      <w:pPr>
        <w:pStyle w:val="Akapitzlist"/>
        <w:spacing w:after="0" w:line="240" w:lineRule="auto"/>
        <w:ind w:left="0"/>
        <w:jc w:val="both"/>
      </w:pPr>
      <w:r>
        <w:t xml:space="preserve">Patrząc jednak na statystyki, można stwierdzić że przyszłość daje podstawy do ostrożnego optymizmu. W przypadku podmiotów nowych i zlikwidowanych, od 2012 roku notujemy korzystną tendencję większej liczby podmiotów nowo powstałych w stosunku do liczby podmiotów </w:t>
      </w:r>
      <w:r w:rsidRPr="00450FA1">
        <w:t>zlikwidowany</w:t>
      </w:r>
      <w:r>
        <w:t>ch. N</w:t>
      </w:r>
      <w:r w:rsidRPr="00450FA1">
        <w:t>a dane statystyczne miało również wpływ utworzenie Centralnej Ewidencji</w:t>
      </w:r>
      <w:r>
        <w:t xml:space="preserve"> i Informacji o</w:t>
      </w:r>
      <w:r w:rsidRPr="00450FA1">
        <w:t xml:space="preserve"> Działalności Gospodarczej</w:t>
      </w:r>
      <w:r>
        <w:t xml:space="preserve"> i migracja do niej danych przeprowadzona 15.12.2011 roku. Utworzenie CEIDG </w:t>
      </w:r>
      <w:r w:rsidRPr="00450FA1">
        <w:t>spowodowało</w:t>
      </w:r>
      <w:r>
        <w:t>,</w:t>
      </w:r>
      <w:r w:rsidRPr="00450FA1">
        <w:t xml:space="preserve"> że z rejestrów zostały usunięte firmy</w:t>
      </w:r>
      <w:r w:rsidR="00187394">
        <w:t>,</w:t>
      </w:r>
      <w:r w:rsidRPr="00450FA1">
        <w:t xml:space="preserve"> które od lat nie prowadziły żadnej działalności</w:t>
      </w:r>
      <w:r>
        <w:t>, a figurowały w ewidencji działalności gospodarczej prowadzonej przez gminy.</w:t>
      </w:r>
    </w:p>
    <w:p w:rsidR="00F62219" w:rsidRDefault="00F62219" w:rsidP="005E16D5">
      <w:pPr>
        <w:pStyle w:val="Akapitzlist"/>
        <w:spacing w:after="0" w:line="240" w:lineRule="auto"/>
        <w:ind w:left="0"/>
        <w:jc w:val="both"/>
        <w:rPr>
          <w:b/>
        </w:rPr>
      </w:pPr>
    </w:p>
    <w:p w:rsidR="005E16D5" w:rsidRDefault="005E16D5" w:rsidP="005E16D5">
      <w:pPr>
        <w:pStyle w:val="Akapitzlist"/>
        <w:spacing w:after="0" w:line="240" w:lineRule="auto"/>
        <w:ind w:left="0"/>
        <w:jc w:val="both"/>
      </w:pPr>
      <w:r>
        <w:rPr>
          <w:b/>
        </w:rPr>
        <w:t>Wykres nr 3</w:t>
      </w:r>
      <w:r w:rsidRPr="00537018">
        <w:rPr>
          <w:b/>
        </w:rPr>
        <w:t>.</w:t>
      </w:r>
      <w:r>
        <w:t xml:space="preserve">  Podmioty nowe i zlikwidowane w mieście Suwałki w latach 2010-2013</w:t>
      </w:r>
    </w:p>
    <w:p w:rsidR="005E16D5" w:rsidRDefault="001D058D" w:rsidP="005E16D5">
      <w:pPr>
        <w:spacing w:after="0" w:line="240" w:lineRule="auto"/>
        <w:jc w:val="center"/>
      </w:pPr>
      <w:r>
        <w:rPr>
          <w:noProof/>
          <w:lang w:eastAsia="pl-PL"/>
        </w:rPr>
        <w:drawing>
          <wp:inline distT="0" distB="0" distL="0" distR="0">
            <wp:extent cx="5760720" cy="284099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16D5" w:rsidRDefault="005E16D5" w:rsidP="00F62219">
      <w:pPr>
        <w:spacing w:after="0" w:line="240" w:lineRule="auto"/>
      </w:pPr>
      <w:bookmarkStart w:id="7" w:name="_Toc381097064"/>
      <w:r>
        <w:t>Źródło: Opracowanie własne na podstawie danych Urzędu Statystycznego w Białymstoku</w:t>
      </w:r>
    </w:p>
    <w:p w:rsidR="005E16D5" w:rsidRDefault="005E16D5" w:rsidP="005E16D5">
      <w:pPr>
        <w:pStyle w:val="Nagwek2"/>
      </w:pPr>
      <w:bookmarkStart w:id="8" w:name="_Toc390759470"/>
      <w:r>
        <w:t>2.2. Branże gospodarki lokalnej</w:t>
      </w:r>
      <w:bookmarkEnd w:id="7"/>
      <w:bookmarkEnd w:id="8"/>
    </w:p>
    <w:p w:rsidR="005E16D5" w:rsidRPr="00441AB3" w:rsidRDefault="005E16D5" w:rsidP="005E16D5">
      <w:pPr>
        <w:spacing w:after="0" w:line="240" w:lineRule="auto"/>
        <w:jc w:val="both"/>
      </w:pPr>
    </w:p>
    <w:p w:rsidR="004D1147" w:rsidRDefault="00F73870" w:rsidP="00F73870">
      <w:pPr>
        <w:spacing w:after="0" w:line="240" w:lineRule="auto"/>
        <w:jc w:val="both"/>
      </w:pPr>
      <w:r>
        <w:t xml:space="preserve">W strukturze gospodarczej Suwałk nie ma jednej dominującej branży. Można wskazać kilka gałęzi gospodarki, w których Suwałki posiadają szczególny potencjał. Są to: przetwórstwo drewna i meblarstwo, przemysł rolno-spożywczy oraz usługi turystyczne. </w:t>
      </w:r>
      <w:r w:rsidR="00E35CD6">
        <w:t>W 2012 roku w Suwałkach</w:t>
      </w:r>
      <w:r w:rsidR="004D1147">
        <w:t xml:space="preserve"> </w:t>
      </w:r>
      <w:r w:rsidR="004A564B">
        <w:t>istniało</w:t>
      </w:r>
      <w:r w:rsidR="004D1147">
        <w:t xml:space="preserve"> 71 firm zajmujących się produkcją artykułów spożywczych (przetwarzaniem mięsa, wytwarzaniem wyrobów mleczarskich, produkcją wyrobów piekarskich i mącznych), w których zatrudnionych było łącznie 873 pracowników, 49 firm zajmujących się produkcją wyrobów z drewna oraz korka, w których pracowało  447 osób i 87 firm zajmujących się produkcją mebli, w których zatrudnionych było 669 osób</w:t>
      </w:r>
      <w:r w:rsidR="006D00C6">
        <w:rPr>
          <w:rStyle w:val="Odwoanieprzypisudolnego"/>
        </w:rPr>
        <w:footnoteReference w:id="2"/>
      </w:r>
      <w:r w:rsidR="004D1147">
        <w:t>. Z kolei n</w:t>
      </w:r>
      <w:r>
        <w:t xml:space="preserve">a koniec 2013 roku </w:t>
      </w:r>
      <w:r w:rsidR="004D1147">
        <w:t>liczba firm w ww. branżach przedstawiała się następująco:</w:t>
      </w:r>
    </w:p>
    <w:p w:rsidR="004D1147" w:rsidRDefault="004D1147" w:rsidP="00F73870">
      <w:pPr>
        <w:spacing w:after="0" w:line="240" w:lineRule="auto"/>
        <w:jc w:val="both"/>
      </w:pPr>
      <w:r>
        <w:t xml:space="preserve">- </w:t>
      </w:r>
      <w:r w:rsidR="00F73870" w:rsidRPr="00F73870">
        <w:t xml:space="preserve">69 firm </w:t>
      </w:r>
      <w:r>
        <w:t>zajmowało</w:t>
      </w:r>
      <w:r w:rsidR="00F73870">
        <w:t xml:space="preserve"> się produkcją artykułów spożywczych (przetwarzaniem mięsa, wytwarzaniem wyrobów mleczarskich, produkcją wyrobów p</w:t>
      </w:r>
      <w:r w:rsidR="007C5C37">
        <w:t xml:space="preserve">iekarskich i mącznych), </w:t>
      </w:r>
    </w:p>
    <w:p w:rsidR="004D1147" w:rsidRDefault="004D1147" w:rsidP="00F73870">
      <w:pPr>
        <w:spacing w:after="0" w:line="240" w:lineRule="auto"/>
        <w:jc w:val="both"/>
      </w:pPr>
      <w:r>
        <w:t xml:space="preserve">- </w:t>
      </w:r>
      <w:r w:rsidR="00F73870" w:rsidRPr="007C5C37">
        <w:t>53 firmy</w:t>
      </w:r>
      <w:r w:rsidR="00F73870">
        <w:t xml:space="preserve"> </w:t>
      </w:r>
      <w:r>
        <w:t xml:space="preserve">zajmowały </w:t>
      </w:r>
      <w:r w:rsidR="00F73870">
        <w:t>się produkcją wyrobó</w:t>
      </w:r>
      <w:r w:rsidR="007C5C37">
        <w:t>w z drewna oraz korka</w:t>
      </w:r>
      <w:r>
        <w:t>,</w:t>
      </w:r>
    </w:p>
    <w:p w:rsidR="00F73870" w:rsidRDefault="004D1147" w:rsidP="00F73870">
      <w:pPr>
        <w:spacing w:after="0" w:line="240" w:lineRule="auto"/>
        <w:jc w:val="both"/>
      </w:pPr>
      <w:r>
        <w:t xml:space="preserve">- </w:t>
      </w:r>
      <w:r w:rsidR="007C5C37">
        <w:t>83 firmy</w:t>
      </w:r>
      <w:r w:rsidR="00F73870">
        <w:t xml:space="preserve"> </w:t>
      </w:r>
      <w:r>
        <w:t>zajmowały</w:t>
      </w:r>
      <w:r w:rsidR="00F73870">
        <w:t xml:space="preserve"> się produkcją mebli</w:t>
      </w:r>
      <w:r w:rsidR="00F73870">
        <w:rPr>
          <w:rStyle w:val="Odwoanieprzypisudolnego"/>
        </w:rPr>
        <w:footnoteReference w:id="3"/>
      </w:r>
      <w:r w:rsidR="0007439F">
        <w:t xml:space="preserve"> </w:t>
      </w:r>
      <w:r w:rsidR="003E0C10">
        <w:rPr>
          <w:rStyle w:val="Odwoanieprzypisudolnego"/>
        </w:rPr>
        <w:footnoteReference w:id="4"/>
      </w:r>
      <w:r w:rsidR="00F73870">
        <w:t>.</w:t>
      </w:r>
    </w:p>
    <w:p w:rsidR="00C440C2" w:rsidRDefault="00C440C2" w:rsidP="005E16D5">
      <w:pPr>
        <w:spacing w:after="0" w:line="240" w:lineRule="auto"/>
        <w:jc w:val="both"/>
      </w:pPr>
    </w:p>
    <w:p w:rsidR="005E16D5" w:rsidRDefault="005E16D5" w:rsidP="005E16D5">
      <w:pPr>
        <w:spacing w:after="0" w:line="240" w:lineRule="auto"/>
        <w:jc w:val="both"/>
      </w:pPr>
      <w:r>
        <w:t>W roku 2013 r. struktura branżowa podmiotów w mieście Suwałki kształtowała się w następujący sposób:</w:t>
      </w:r>
    </w:p>
    <w:p w:rsidR="007C5C37" w:rsidRDefault="007C5C37" w:rsidP="00962F1F">
      <w:pPr>
        <w:pStyle w:val="Akapitzlist"/>
        <w:spacing w:after="0" w:line="240" w:lineRule="auto"/>
        <w:ind w:left="0"/>
        <w:jc w:val="both"/>
        <w:rPr>
          <w:b/>
        </w:rPr>
      </w:pPr>
    </w:p>
    <w:p w:rsidR="005E16D5" w:rsidRDefault="005E16D5" w:rsidP="00962F1F">
      <w:pPr>
        <w:pStyle w:val="Akapitzlist"/>
        <w:spacing w:after="0" w:line="240" w:lineRule="auto"/>
        <w:ind w:left="0"/>
        <w:jc w:val="both"/>
      </w:pPr>
      <w:r>
        <w:rPr>
          <w:b/>
        </w:rPr>
        <w:t>Wykres nr 4</w:t>
      </w:r>
      <w:r w:rsidRPr="00537018">
        <w:rPr>
          <w:b/>
        </w:rPr>
        <w:t>.</w:t>
      </w:r>
      <w:r>
        <w:t xml:space="preserve"> Struktura branżowa firm w Suwałkach</w:t>
      </w:r>
      <w:r w:rsidR="00FA798B">
        <w:t xml:space="preserve"> </w:t>
      </w:r>
      <w:r w:rsidR="00FA798B" w:rsidRPr="008F12F8">
        <w:rPr>
          <w:rStyle w:val="Odwoanieprzypisudolnego"/>
        </w:rPr>
        <w:footnoteReference w:id="5"/>
      </w:r>
    </w:p>
    <w:p w:rsidR="007C5C37" w:rsidRPr="0039708B" w:rsidRDefault="007C5C37" w:rsidP="00962F1F">
      <w:pPr>
        <w:pStyle w:val="Akapitzlist"/>
        <w:spacing w:after="0" w:line="240" w:lineRule="auto"/>
        <w:ind w:left="0"/>
        <w:jc w:val="both"/>
      </w:pPr>
      <w:r w:rsidRPr="007C5C37">
        <w:rPr>
          <w:noProof/>
          <w:lang w:eastAsia="pl-PL"/>
        </w:rPr>
        <w:drawing>
          <wp:inline distT="0" distB="0" distL="0" distR="0">
            <wp:extent cx="5486400" cy="2743200"/>
            <wp:effectExtent l="19050" t="0" r="19050" b="0"/>
            <wp:docPr id="11"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16D5" w:rsidRPr="008F12F8" w:rsidRDefault="005E16D5" w:rsidP="005E16D5">
      <w:pPr>
        <w:spacing w:after="0" w:line="240" w:lineRule="auto"/>
        <w:jc w:val="both"/>
      </w:pPr>
    </w:p>
    <w:p w:rsidR="005E16D5" w:rsidRDefault="005E16D5" w:rsidP="005E16D5">
      <w:pPr>
        <w:spacing w:after="0" w:line="240" w:lineRule="auto"/>
      </w:pPr>
      <w:r>
        <w:t>Źródło: Opracowanie własne na podstawie danych Urzędu Statystycznego w Białymstoku</w:t>
      </w:r>
    </w:p>
    <w:p w:rsidR="005E16D5" w:rsidRPr="00A54FEE" w:rsidRDefault="005E16D5" w:rsidP="005E16D5">
      <w:pPr>
        <w:spacing w:after="0" w:line="240" w:lineRule="auto"/>
        <w:jc w:val="both"/>
        <w:rPr>
          <w:color w:val="FF0000"/>
        </w:rPr>
      </w:pPr>
    </w:p>
    <w:p w:rsidR="00803429" w:rsidRPr="00FA798B" w:rsidRDefault="007C5C37" w:rsidP="005E16D5">
      <w:pPr>
        <w:spacing w:after="0" w:line="240" w:lineRule="auto"/>
        <w:jc w:val="both"/>
      </w:pPr>
      <w:r w:rsidRPr="00FC5CEC">
        <w:t>Najwięcej firm działało w sekcjach</w:t>
      </w:r>
      <w:r>
        <w:t xml:space="preserve">: </w:t>
      </w:r>
      <w:r w:rsidR="00C440C2">
        <w:t>C (przetwórstwo przemysłowe: m.</w:t>
      </w:r>
      <w:r>
        <w:t>in. produkcja artykułów spożywczych, artykułów przemysłowych: odzieży, skór, w tym także mebli, komputerów, wyrobów elektronicznych i innych) ), F (budownictwo), G (handel i naprawa pojazdów samochodowych), H (transport i gospodarka magazynowa), M (działalność profesjonalna, naukowa i techniczna), i T + S (pozostała działalność usługowa).</w:t>
      </w:r>
    </w:p>
    <w:p w:rsidR="007C5C37" w:rsidRDefault="007C5C37" w:rsidP="005E16D5">
      <w:pPr>
        <w:spacing w:after="0" w:line="240" w:lineRule="auto"/>
        <w:jc w:val="both"/>
        <w:rPr>
          <w:b/>
        </w:rPr>
      </w:pPr>
    </w:p>
    <w:p w:rsidR="006C4B9D" w:rsidRDefault="006C4B9D" w:rsidP="005E16D5">
      <w:pPr>
        <w:spacing w:after="0" w:line="240" w:lineRule="auto"/>
        <w:jc w:val="both"/>
        <w:rPr>
          <w:b/>
        </w:rPr>
      </w:pPr>
    </w:p>
    <w:p w:rsidR="006C4B9D" w:rsidRDefault="006C4B9D" w:rsidP="005E16D5">
      <w:pPr>
        <w:spacing w:after="0" w:line="240" w:lineRule="auto"/>
        <w:jc w:val="both"/>
        <w:rPr>
          <w:b/>
        </w:rPr>
      </w:pPr>
    </w:p>
    <w:p w:rsidR="006C4B9D" w:rsidRDefault="006C4B9D" w:rsidP="005E16D5">
      <w:pPr>
        <w:spacing w:after="0" w:line="240" w:lineRule="auto"/>
        <w:jc w:val="both"/>
        <w:rPr>
          <w:b/>
        </w:rPr>
      </w:pPr>
    </w:p>
    <w:p w:rsidR="006C4B9D" w:rsidRDefault="006C4B9D" w:rsidP="005E16D5">
      <w:pPr>
        <w:spacing w:after="0" w:line="240" w:lineRule="auto"/>
        <w:jc w:val="both"/>
        <w:rPr>
          <w:b/>
        </w:rPr>
      </w:pPr>
    </w:p>
    <w:p w:rsidR="006C4B9D" w:rsidRDefault="006C4B9D" w:rsidP="005E16D5">
      <w:pPr>
        <w:spacing w:after="0" w:line="240" w:lineRule="auto"/>
        <w:jc w:val="both"/>
        <w:rPr>
          <w:b/>
        </w:rPr>
      </w:pPr>
    </w:p>
    <w:p w:rsidR="006C4B9D" w:rsidRDefault="006C4B9D" w:rsidP="005E16D5">
      <w:pPr>
        <w:spacing w:after="0" w:line="240" w:lineRule="auto"/>
        <w:jc w:val="both"/>
        <w:rPr>
          <w:b/>
        </w:rPr>
      </w:pPr>
    </w:p>
    <w:p w:rsidR="006C4B9D" w:rsidRDefault="006C4B9D" w:rsidP="005E16D5">
      <w:pPr>
        <w:spacing w:after="0" w:line="240" w:lineRule="auto"/>
        <w:jc w:val="both"/>
        <w:rPr>
          <w:b/>
        </w:rPr>
      </w:pPr>
    </w:p>
    <w:p w:rsidR="006C4B9D" w:rsidRDefault="006C4B9D" w:rsidP="005E16D5">
      <w:pPr>
        <w:spacing w:after="0" w:line="240" w:lineRule="auto"/>
        <w:jc w:val="both"/>
        <w:rPr>
          <w:b/>
        </w:rPr>
      </w:pPr>
    </w:p>
    <w:p w:rsidR="006C4B9D" w:rsidRDefault="006C4B9D" w:rsidP="005E16D5">
      <w:pPr>
        <w:spacing w:after="0" w:line="240" w:lineRule="auto"/>
        <w:jc w:val="both"/>
        <w:rPr>
          <w:b/>
        </w:rPr>
      </w:pPr>
    </w:p>
    <w:p w:rsidR="006C4B9D" w:rsidRDefault="006C4B9D" w:rsidP="005E16D5">
      <w:pPr>
        <w:spacing w:after="0" w:line="240" w:lineRule="auto"/>
        <w:jc w:val="both"/>
        <w:rPr>
          <w:b/>
        </w:rPr>
      </w:pPr>
    </w:p>
    <w:p w:rsidR="005E16D5" w:rsidRDefault="005E16D5" w:rsidP="005E16D5">
      <w:pPr>
        <w:spacing w:after="0" w:line="240" w:lineRule="auto"/>
        <w:jc w:val="both"/>
      </w:pPr>
      <w:r w:rsidRPr="00476AEA">
        <w:rPr>
          <w:b/>
        </w:rPr>
        <w:t>Wykres nr 5:</w:t>
      </w:r>
      <w:r w:rsidRPr="00476AEA">
        <w:t xml:space="preserve"> Podmioty gospodarcze w mieście Suwałki wg klas wielkości</w:t>
      </w:r>
      <w:r>
        <w:t xml:space="preserve"> </w:t>
      </w:r>
      <w:r w:rsidR="008E556E">
        <w:t xml:space="preserve">zatrudnienia </w:t>
      </w:r>
      <w:r>
        <w:t xml:space="preserve">w </w:t>
      </w:r>
      <w:r w:rsidR="007C5C37">
        <w:t>latach 2012-2013</w:t>
      </w:r>
    </w:p>
    <w:p w:rsidR="005E16D5" w:rsidRDefault="007C5C37" w:rsidP="005E16D5">
      <w:pPr>
        <w:spacing w:after="0" w:line="240" w:lineRule="auto"/>
        <w:jc w:val="center"/>
      </w:pPr>
      <w:r w:rsidRPr="007C5C37">
        <w:rPr>
          <w:noProof/>
          <w:lang w:eastAsia="pl-PL"/>
        </w:rPr>
        <w:drawing>
          <wp:inline distT="0" distB="0" distL="0" distR="0">
            <wp:extent cx="5629275" cy="3003550"/>
            <wp:effectExtent l="0" t="0" r="0" b="6350"/>
            <wp:docPr id="12"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16D5" w:rsidRDefault="005E16D5" w:rsidP="005E16D5">
      <w:pPr>
        <w:spacing w:after="0" w:line="240" w:lineRule="auto"/>
      </w:pPr>
      <w:r>
        <w:t>Źródło: Opracowanie własne na podstawie danych Urzędu Statystycznego w Białymstoku</w:t>
      </w:r>
    </w:p>
    <w:p w:rsidR="00427A8C" w:rsidRDefault="00427A8C" w:rsidP="00427A8C">
      <w:pPr>
        <w:spacing w:after="0" w:line="240" w:lineRule="auto"/>
        <w:jc w:val="both"/>
      </w:pPr>
    </w:p>
    <w:p w:rsidR="00427A8C" w:rsidRDefault="00427A8C" w:rsidP="00427A8C">
      <w:pPr>
        <w:spacing w:after="0" w:line="240" w:lineRule="auto"/>
        <w:jc w:val="both"/>
      </w:pPr>
      <w:r w:rsidRPr="00FF393B">
        <w:t>Biorąc pod uwagę wielkość podmiotów gospodarczych w Suwałkach (Wykres nr 5), zdecydowanie dominują podmioty zatrudniające do 9 osób</w:t>
      </w:r>
      <w:r>
        <w:t xml:space="preserve"> (6 684 podmiotów gospodarczych)</w:t>
      </w:r>
      <w:r w:rsidRPr="00FF393B">
        <w:t>. Jest to sytuacja typowa dla całej gospodarki, która opiera się na takich firmach. W tej kategorii Suwałki znacznie przewyższają średnią wojewódzką (Wykres nr 6). Najmniejszych firm jest w Suwałkach również zauważalnie więcej niż w Łomży</w:t>
      </w:r>
      <w:r>
        <w:t>.</w:t>
      </w:r>
      <w:r w:rsidRPr="00FF393B">
        <w:t xml:space="preserve"> </w:t>
      </w:r>
      <w:r>
        <w:t>Suwałki ustępują</w:t>
      </w:r>
      <w:r w:rsidRPr="00FF393B">
        <w:t xml:space="preserve"> </w:t>
      </w:r>
      <w:r>
        <w:t xml:space="preserve">natomiast </w:t>
      </w:r>
      <w:r w:rsidRPr="00FF393B">
        <w:t>Łomży w dwóch kolejnych kategoriach firm</w:t>
      </w:r>
      <w:r w:rsidR="006C4B9D">
        <w:t>,</w:t>
      </w:r>
      <w:r w:rsidRPr="00FF393B">
        <w:t xml:space="preserve"> tj. podmiotów zatrudniających od 10 do 49 osób na 10 tys. mieszkańców </w:t>
      </w:r>
      <w:r>
        <w:t>w wieku produkcyjnym (Suwałki 42</w:t>
      </w:r>
      <w:r w:rsidRPr="00FF393B">
        <w:t xml:space="preserve">; Łomża 43) oraz od 50 do 249 osób na 10 tys. mieszkańców </w:t>
      </w:r>
      <w:r>
        <w:t>(Suwałki 14; Łomża 17</w:t>
      </w:r>
      <w:r w:rsidRPr="00FF393B">
        <w:t xml:space="preserve">). </w:t>
      </w:r>
    </w:p>
    <w:p w:rsidR="00427A8C" w:rsidRDefault="00427A8C" w:rsidP="00427A8C">
      <w:pPr>
        <w:spacing w:after="0" w:line="240" w:lineRule="auto"/>
        <w:jc w:val="both"/>
        <w:rPr>
          <w:b/>
        </w:rPr>
      </w:pPr>
    </w:p>
    <w:p w:rsidR="00427A8C" w:rsidRDefault="00C628E6" w:rsidP="00427A8C">
      <w:pPr>
        <w:spacing w:after="0" w:line="240" w:lineRule="auto"/>
        <w:jc w:val="both"/>
      </w:pPr>
      <w:r w:rsidRPr="00C628E6">
        <w:rPr>
          <w:b/>
        </w:rPr>
        <w:t>Wykres nr 6.</w:t>
      </w:r>
      <w:r w:rsidRPr="00C628E6">
        <w:t xml:space="preserve"> </w:t>
      </w:r>
      <w:r w:rsidR="00427A8C" w:rsidRPr="00C628E6">
        <w:rPr>
          <w:rFonts w:eastAsia="Times New Roman" w:cs="Tahoma"/>
          <w:color w:val="000000"/>
          <w:lang w:eastAsia="pl-PL"/>
        </w:rPr>
        <w:t xml:space="preserve">Podmioty gospodarcze </w:t>
      </w:r>
      <w:r w:rsidR="00DD1D82">
        <w:rPr>
          <w:rFonts w:eastAsia="Times New Roman" w:cs="Tahoma"/>
          <w:color w:val="000000"/>
          <w:lang w:eastAsia="pl-PL"/>
        </w:rPr>
        <w:t xml:space="preserve">w Suwałkach </w:t>
      </w:r>
      <w:r w:rsidR="00427A8C" w:rsidRPr="00C628E6">
        <w:rPr>
          <w:rFonts w:eastAsia="Times New Roman" w:cs="Tahoma"/>
          <w:color w:val="000000"/>
          <w:lang w:eastAsia="pl-PL"/>
        </w:rPr>
        <w:t>wg klas wielkości na 10 tys. mieszkańców w wieku produkcyjnym w 2012 roku</w:t>
      </w:r>
    </w:p>
    <w:p w:rsidR="000177AD" w:rsidRDefault="00427A8C" w:rsidP="000177AD">
      <w:pPr>
        <w:rPr>
          <w:rFonts w:eastAsia="Times New Roman" w:cs="Tahoma"/>
          <w:color w:val="000000"/>
          <w:lang w:eastAsia="pl-PL"/>
        </w:rPr>
      </w:pPr>
      <w:r w:rsidRPr="00427A8C">
        <w:rPr>
          <w:rFonts w:eastAsia="Times New Roman" w:cs="Tahoma"/>
          <w:noProof/>
          <w:color w:val="000000"/>
          <w:lang w:eastAsia="pl-PL"/>
        </w:rPr>
        <w:drawing>
          <wp:inline distT="0" distB="0" distL="0" distR="0">
            <wp:extent cx="5562600" cy="2619375"/>
            <wp:effectExtent l="0" t="0" r="0" b="0"/>
            <wp:docPr id="13"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9" w:name="_Toc381097065"/>
    </w:p>
    <w:p w:rsidR="000177AD" w:rsidRPr="000177AD" w:rsidRDefault="000177AD" w:rsidP="000177AD">
      <w:pPr>
        <w:rPr>
          <w:rFonts w:eastAsia="Times New Roman" w:cs="Tahoma"/>
          <w:color w:val="000000"/>
          <w:lang w:eastAsia="pl-PL"/>
        </w:rPr>
      </w:pPr>
    </w:p>
    <w:p w:rsidR="000177AD" w:rsidRDefault="000177AD" w:rsidP="001D0832">
      <w:pPr>
        <w:pStyle w:val="Nagwek2"/>
      </w:pPr>
    </w:p>
    <w:p w:rsidR="005E16D5" w:rsidRPr="00441AB3" w:rsidRDefault="005E16D5" w:rsidP="001D0832">
      <w:pPr>
        <w:pStyle w:val="Nagwek2"/>
      </w:pPr>
      <w:bookmarkStart w:id="10" w:name="_Toc390759471"/>
      <w:r>
        <w:t>2.3. Kapitał zagraniczny</w:t>
      </w:r>
      <w:bookmarkEnd w:id="9"/>
      <w:bookmarkEnd w:id="10"/>
    </w:p>
    <w:p w:rsidR="005E16D5" w:rsidRDefault="005E16D5" w:rsidP="005E16D5">
      <w:pPr>
        <w:spacing w:after="0" w:line="240" w:lineRule="auto"/>
        <w:rPr>
          <w:b/>
        </w:rPr>
      </w:pPr>
    </w:p>
    <w:p w:rsidR="005E16D5" w:rsidRDefault="00427A8C" w:rsidP="005E16D5">
      <w:pPr>
        <w:spacing w:after="0" w:line="240" w:lineRule="auto"/>
        <w:jc w:val="both"/>
      </w:pPr>
      <w:r>
        <w:t xml:space="preserve">Zgodnie z danymi </w:t>
      </w:r>
      <w:r w:rsidR="005E16D5">
        <w:t>GUS jednym z największych wyzwań dla miasta w sferze gospodarczej, pozostaje przyciąganie inwestycji zagranicznych. Liczba spółek z kapitałem zagranicznym znajduje się powyżej średniej dla województwa</w:t>
      </w:r>
      <w:r w:rsidR="00187394">
        <w:t>,</w:t>
      </w:r>
      <w:r w:rsidR="005E16D5">
        <w:t xml:space="preserve"> ale poniżej średniej dla miast z grupy kontrolnej. W 2012 r. liczba</w:t>
      </w:r>
      <w:r w:rsidR="005E16D5" w:rsidRPr="002426F8">
        <w:t xml:space="preserve"> </w:t>
      </w:r>
      <w:r w:rsidR="005E16D5">
        <w:t>spółek z udziałem kapitału zagranicznego wynosiła 8 na 10 000 mieszkańców. Dla porównania w Przemyślu było to 20 podmiotów</w:t>
      </w:r>
      <w:r>
        <w:t>,</w:t>
      </w:r>
      <w:r w:rsidR="005E16D5">
        <w:t xml:space="preserve"> a w Białej Podlaskiej 16 podmiotów. Pomimo tego, że obserwujemy stały wzrost liczby takich spółek w mieście (w 2006 r.</w:t>
      </w:r>
      <w:r>
        <w:t xml:space="preserve"> takich spółek było niespełna</w:t>
      </w:r>
      <w:r w:rsidR="005E16D5">
        <w:t xml:space="preserve"> 5) to podobny wzrost jest odnotowany we wszystkich grupach porównawczych i jest związany z ogólnymi procesami coraz większego otwarcia polskiej gospodarki na kapitał z zewnątrz. </w:t>
      </w:r>
    </w:p>
    <w:p w:rsidR="005E16D5" w:rsidRDefault="005E16D5" w:rsidP="005E16D5">
      <w:pPr>
        <w:spacing w:after="0" w:line="240" w:lineRule="auto"/>
        <w:rPr>
          <w:b/>
        </w:rPr>
      </w:pPr>
    </w:p>
    <w:p w:rsidR="005E16D5" w:rsidRDefault="005E16D5" w:rsidP="005E16D5">
      <w:pPr>
        <w:spacing w:after="0" w:line="240" w:lineRule="auto"/>
        <w:jc w:val="both"/>
      </w:pPr>
      <w:r>
        <w:rPr>
          <w:b/>
        </w:rPr>
        <w:t xml:space="preserve">Tabela nr </w:t>
      </w:r>
      <w:r w:rsidRPr="00A563F2">
        <w:rPr>
          <w:b/>
        </w:rPr>
        <w:t>1</w:t>
      </w:r>
      <w:r>
        <w:rPr>
          <w:b/>
        </w:rPr>
        <w:t>.</w:t>
      </w:r>
      <w:r w:rsidRPr="00A563F2">
        <w:rPr>
          <w:b/>
        </w:rPr>
        <w:t xml:space="preserve"> </w:t>
      </w:r>
      <w:r w:rsidRPr="00A563F2">
        <w:t>Podmioty gospodarki narodowej w rejestrze REGON z udziałem kapitału zagranicznego</w:t>
      </w:r>
      <w:r w:rsidRPr="00A563F2">
        <w:br/>
        <w:t xml:space="preserve"> w mieście Suwałki w</w:t>
      </w:r>
      <w:r w:rsidR="00A01FF8">
        <w:t xml:space="preserve"> latach 2006</w:t>
      </w:r>
      <w:r>
        <w:t xml:space="preserve"> – 2013</w:t>
      </w:r>
    </w:p>
    <w:p w:rsidR="005E16D5" w:rsidRPr="00A563F2" w:rsidRDefault="005E16D5" w:rsidP="005E16D5">
      <w:pPr>
        <w:spacing w:after="0" w:line="240" w:lineRule="auto"/>
        <w:jc w:val="both"/>
      </w:pPr>
    </w:p>
    <w:p w:rsidR="005E16D5" w:rsidRPr="00A563F2" w:rsidRDefault="005E16D5" w:rsidP="005E16D5">
      <w:pPr>
        <w:spacing w:after="0" w:line="240" w:lineRule="auto"/>
        <w:rPr>
          <w:b/>
        </w:rPr>
      </w:pPr>
    </w:p>
    <w:tbl>
      <w:tblPr>
        <w:tblStyle w:val="Tabela-Siatka"/>
        <w:tblW w:w="5000" w:type="pct"/>
        <w:tblLook w:val="04A0"/>
      </w:tblPr>
      <w:tblGrid>
        <w:gridCol w:w="3124"/>
        <w:gridCol w:w="771"/>
        <w:gridCol w:w="771"/>
        <w:gridCol w:w="771"/>
        <w:gridCol w:w="771"/>
        <w:gridCol w:w="771"/>
        <w:gridCol w:w="771"/>
        <w:gridCol w:w="771"/>
        <w:gridCol w:w="767"/>
      </w:tblGrid>
      <w:tr w:rsidR="002B7FC5" w:rsidRPr="00A563F2" w:rsidTr="002B7FC5">
        <w:tc>
          <w:tcPr>
            <w:tcW w:w="1682" w:type="pct"/>
            <w:tcBorders>
              <w:bottom w:val="single" w:sz="4" w:space="0" w:color="auto"/>
            </w:tcBorders>
            <w:shd w:val="pct25" w:color="auto" w:fill="auto"/>
          </w:tcPr>
          <w:p w:rsidR="002B7FC5" w:rsidRPr="00A563F2" w:rsidRDefault="002B7FC5" w:rsidP="006737FC">
            <w:pPr>
              <w:rPr>
                <w:b/>
              </w:rPr>
            </w:pPr>
            <w:r w:rsidRPr="00A563F2">
              <w:rPr>
                <w:b/>
              </w:rPr>
              <w:t>Wyszczególnienie</w:t>
            </w:r>
          </w:p>
        </w:tc>
        <w:tc>
          <w:tcPr>
            <w:tcW w:w="415" w:type="pct"/>
            <w:tcBorders>
              <w:bottom w:val="single" w:sz="4" w:space="0" w:color="auto"/>
            </w:tcBorders>
            <w:shd w:val="pct25" w:color="auto" w:fill="auto"/>
          </w:tcPr>
          <w:p w:rsidR="002B7FC5" w:rsidRPr="00A563F2" w:rsidRDefault="002B7FC5" w:rsidP="006737FC">
            <w:pPr>
              <w:rPr>
                <w:b/>
              </w:rPr>
            </w:pPr>
            <w:r>
              <w:rPr>
                <w:b/>
              </w:rPr>
              <w:t>2006</w:t>
            </w:r>
          </w:p>
        </w:tc>
        <w:tc>
          <w:tcPr>
            <w:tcW w:w="415" w:type="pct"/>
            <w:tcBorders>
              <w:bottom w:val="single" w:sz="4" w:space="0" w:color="auto"/>
            </w:tcBorders>
            <w:shd w:val="pct25" w:color="auto" w:fill="auto"/>
          </w:tcPr>
          <w:p w:rsidR="002B7FC5" w:rsidRPr="00A563F2" w:rsidRDefault="002B7FC5" w:rsidP="006737FC">
            <w:pPr>
              <w:rPr>
                <w:b/>
              </w:rPr>
            </w:pPr>
            <w:r>
              <w:rPr>
                <w:b/>
              </w:rPr>
              <w:t>2007</w:t>
            </w:r>
          </w:p>
        </w:tc>
        <w:tc>
          <w:tcPr>
            <w:tcW w:w="415" w:type="pct"/>
            <w:tcBorders>
              <w:bottom w:val="single" w:sz="4" w:space="0" w:color="auto"/>
            </w:tcBorders>
            <w:shd w:val="pct25" w:color="auto" w:fill="auto"/>
          </w:tcPr>
          <w:p w:rsidR="002B7FC5" w:rsidRPr="00A563F2" w:rsidRDefault="002B7FC5" w:rsidP="006737FC">
            <w:pPr>
              <w:rPr>
                <w:b/>
              </w:rPr>
            </w:pPr>
            <w:r>
              <w:rPr>
                <w:b/>
              </w:rPr>
              <w:t>2008</w:t>
            </w:r>
          </w:p>
        </w:tc>
        <w:tc>
          <w:tcPr>
            <w:tcW w:w="415" w:type="pct"/>
            <w:tcBorders>
              <w:bottom w:val="single" w:sz="4" w:space="0" w:color="auto"/>
            </w:tcBorders>
            <w:shd w:val="pct25" w:color="auto" w:fill="auto"/>
          </w:tcPr>
          <w:p w:rsidR="002B7FC5" w:rsidRPr="00A563F2" w:rsidRDefault="002B7FC5" w:rsidP="006737FC">
            <w:pPr>
              <w:rPr>
                <w:b/>
              </w:rPr>
            </w:pPr>
            <w:r>
              <w:rPr>
                <w:b/>
              </w:rPr>
              <w:t>2009</w:t>
            </w:r>
          </w:p>
        </w:tc>
        <w:tc>
          <w:tcPr>
            <w:tcW w:w="415" w:type="pct"/>
            <w:tcBorders>
              <w:bottom w:val="single" w:sz="4" w:space="0" w:color="auto"/>
            </w:tcBorders>
            <w:shd w:val="pct25" w:color="auto" w:fill="auto"/>
          </w:tcPr>
          <w:p w:rsidR="002B7FC5" w:rsidRPr="00A563F2" w:rsidRDefault="002B7FC5" w:rsidP="006737FC">
            <w:pPr>
              <w:rPr>
                <w:b/>
              </w:rPr>
            </w:pPr>
            <w:r w:rsidRPr="00A563F2">
              <w:rPr>
                <w:b/>
              </w:rPr>
              <w:t>2010</w:t>
            </w:r>
          </w:p>
        </w:tc>
        <w:tc>
          <w:tcPr>
            <w:tcW w:w="415" w:type="pct"/>
            <w:tcBorders>
              <w:bottom w:val="single" w:sz="4" w:space="0" w:color="auto"/>
            </w:tcBorders>
            <w:shd w:val="pct25" w:color="auto" w:fill="auto"/>
          </w:tcPr>
          <w:p w:rsidR="002B7FC5" w:rsidRPr="00A563F2" w:rsidRDefault="002B7FC5" w:rsidP="006737FC">
            <w:pPr>
              <w:rPr>
                <w:b/>
              </w:rPr>
            </w:pPr>
            <w:r w:rsidRPr="00A563F2">
              <w:rPr>
                <w:b/>
              </w:rPr>
              <w:t>2011</w:t>
            </w:r>
          </w:p>
        </w:tc>
        <w:tc>
          <w:tcPr>
            <w:tcW w:w="415" w:type="pct"/>
            <w:tcBorders>
              <w:bottom w:val="single" w:sz="4" w:space="0" w:color="auto"/>
            </w:tcBorders>
            <w:shd w:val="pct25" w:color="auto" w:fill="auto"/>
          </w:tcPr>
          <w:p w:rsidR="002B7FC5" w:rsidRPr="00A563F2" w:rsidRDefault="002B7FC5" w:rsidP="006737FC">
            <w:pPr>
              <w:rPr>
                <w:b/>
              </w:rPr>
            </w:pPr>
            <w:r w:rsidRPr="00A563F2">
              <w:rPr>
                <w:b/>
              </w:rPr>
              <w:t>2012</w:t>
            </w:r>
          </w:p>
        </w:tc>
        <w:tc>
          <w:tcPr>
            <w:tcW w:w="415" w:type="pct"/>
            <w:tcBorders>
              <w:bottom w:val="single" w:sz="4" w:space="0" w:color="auto"/>
            </w:tcBorders>
            <w:shd w:val="pct25" w:color="auto" w:fill="auto"/>
          </w:tcPr>
          <w:p w:rsidR="002B7FC5" w:rsidRPr="00A563F2" w:rsidRDefault="002B7FC5" w:rsidP="006737FC">
            <w:pPr>
              <w:rPr>
                <w:b/>
              </w:rPr>
            </w:pPr>
            <w:r w:rsidRPr="00A563F2">
              <w:rPr>
                <w:b/>
              </w:rPr>
              <w:t>2013</w:t>
            </w:r>
          </w:p>
        </w:tc>
      </w:tr>
      <w:tr w:rsidR="002B7FC5" w:rsidRPr="00A563F2" w:rsidTr="002B7FC5">
        <w:tc>
          <w:tcPr>
            <w:tcW w:w="1682" w:type="pct"/>
            <w:shd w:val="clear" w:color="auto" w:fill="auto"/>
          </w:tcPr>
          <w:p w:rsidR="002B7FC5" w:rsidRPr="00A563F2" w:rsidRDefault="002B7FC5" w:rsidP="006737FC">
            <w:r w:rsidRPr="00A563F2">
              <w:t xml:space="preserve">Spółki handlowe z udziałem </w:t>
            </w:r>
            <w:r w:rsidRPr="00A563F2">
              <w:br/>
              <w:t>kapitału zagranicznego</w:t>
            </w:r>
          </w:p>
        </w:tc>
        <w:tc>
          <w:tcPr>
            <w:tcW w:w="415" w:type="pct"/>
            <w:vAlign w:val="center"/>
          </w:tcPr>
          <w:p w:rsidR="002B7FC5" w:rsidRPr="002B7FC5" w:rsidRDefault="002B7FC5" w:rsidP="002B7FC5">
            <w:r w:rsidRPr="002B7FC5">
              <w:t>44</w:t>
            </w:r>
          </w:p>
        </w:tc>
        <w:tc>
          <w:tcPr>
            <w:tcW w:w="415" w:type="pct"/>
            <w:vAlign w:val="center"/>
          </w:tcPr>
          <w:p w:rsidR="002B7FC5" w:rsidRPr="002B7FC5" w:rsidRDefault="002B7FC5" w:rsidP="002B7FC5">
            <w:r w:rsidRPr="002B7FC5">
              <w:t>47</w:t>
            </w:r>
          </w:p>
        </w:tc>
        <w:tc>
          <w:tcPr>
            <w:tcW w:w="415" w:type="pct"/>
            <w:vAlign w:val="center"/>
          </w:tcPr>
          <w:p w:rsidR="002B7FC5" w:rsidRPr="002B7FC5" w:rsidRDefault="002B7FC5" w:rsidP="002B7FC5">
            <w:r w:rsidRPr="002B7FC5">
              <w:t>46</w:t>
            </w:r>
          </w:p>
        </w:tc>
        <w:tc>
          <w:tcPr>
            <w:tcW w:w="415" w:type="pct"/>
            <w:vAlign w:val="center"/>
          </w:tcPr>
          <w:p w:rsidR="002B7FC5" w:rsidRPr="002B7FC5" w:rsidRDefault="002B7FC5" w:rsidP="002B7FC5">
            <w:r w:rsidRPr="002B7FC5">
              <w:t>51</w:t>
            </w:r>
          </w:p>
        </w:tc>
        <w:tc>
          <w:tcPr>
            <w:tcW w:w="415" w:type="pct"/>
            <w:shd w:val="clear" w:color="auto" w:fill="auto"/>
            <w:vAlign w:val="center"/>
          </w:tcPr>
          <w:p w:rsidR="002B7FC5" w:rsidRPr="00A563F2" w:rsidRDefault="002B7FC5" w:rsidP="006737FC">
            <w:r w:rsidRPr="00A563F2">
              <w:t>42</w:t>
            </w:r>
          </w:p>
        </w:tc>
        <w:tc>
          <w:tcPr>
            <w:tcW w:w="415" w:type="pct"/>
            <w:shd w:val="clear" w:color="auto" w:fill="auto"/>
            <w:vAlign w:val="center"/>
          </w:tcPr>
          <w:p w:rsidR="002B7FC5" w:rsidRPr="00A563F2" w:rsidRDefault="002B7FC5" w:rsidP="006737FC">
            <w:r w:rsidRPr="00A563F2">
              <w:t>48</w:t>
            </w:r>
          </w:p>
        </w:tc>
        <w:tc>
          <w:tcPr>
            <w:tcW w:w="415" w:type="pct"/>
            <w:shd w:val="clear" w:color="auto" w:fill="auto"/>
            <w:vAlign w:val="center"/>
          </w:tcPr>
          <w:p w:rsidR="002B7FC5" w:rsidRPr="00A563F2" w:rsidRDefault="002B7FC5" w:rsidP="006737FC">
            <w:r w:rsidRPr="00A563F2">
              <w:t>55</w:t>
            </w:r>
          </w:p>
        </w:tc>
        <w:tc>
          <w:tcPr>
            <w:tcW w:w="415" w:type="pct"/>
            <w:shd w:val="clear" w:color="auto" w:fill="auto"/>
            <w:vAlign w:val="center"/>
          </w:tcPr>
          <w:p w:rsidR="002B7FC5" w:rsidRPr="00A563F2" w:rsidRDefault="002B7FC5" w:rsidP="006737FC">
            <w:r w:rsidRPr="00A563F2">
              <w:t>66</w:t>
            </w:r>
          </w:p>
        </w:tc>
      </w:tr>
    </w:tbl>
    <w:p w:rsidR="00727181" w:rsidRPr="000A55AF" w:rsidRDefault="00727181" w:rsidP="000A55AF">
      <w:bookmarkStart w:id="11" w:name="_Toc381097066"/>
    </w:p>
    <w:p w:rsidR="005E16D5" w:rsidRDefault="005E16D5" w:rsidP="001D0832">
      <w:pPr>
        <w:pStyle w:val="Nagwek2"/>
        <w:numPr>
          <w:ilvl w:val="1"/>
          <w:numId w:val="29"/>
        </w:numPr>
      </w:pPr>
      <w:bookmarkStart w:id="12" w:name="_Toc390759472"/>
      <w:r>
        <w:t>Absorpcja środków unijn</w:t>
      </w:r>
      <w:bookmarkEnd w:id="11"/>
      <w:r>
        <w:t>ych</w:t>
      </w:r>
      <w:bookmarkEnd w:id="12"/>
      <w:r>
        <w:t xml:space="preserve"> </w:t>
      </w:r>
    </w:p>
    <w:p w:rsidR="005E16D5" w:rsidRPr="002A558A" w:rsidRDefault="005E16D5" w:rsidP="005E16D5">
      <w:pPr>
        <w:pStyle w:val="Akapitzlist"/>
        <w:spacing w:after="0"/>
        <w:ind w:left="885"/>
      </w:pPr>
    </w:p>
    <w:p w:rsidR="006E5CA6" w:rsidRDefault="005E16D5" w:rsidP="006E5CA6">
      <w:pPr>
        <w:spacing w:after="0" w:line="240" w:lineRule="auto"/>
        <w:jc w:val="both"/>
      </w:pPr>
      <w:r w:rsidRPr="00AE26A5">
        <w:t xml:space="preserve">Biorąc pod uwagę dane zawarte w tabeli nr 2, przedsiębiorcy </w:t>
      </w:r>
      <w:r w:rsidR="00427A8C">
        <w:t xml:space="preserve">z Suwałk </w:t>
      </w:r>
      <w:r w:rsidRPr="00AE26A5">
        <w:t xml:space="preserve">wypadają stosunkowo dobrze, ponieważ o dofinansowanie z Regionalnego Programu Operacyjnego Województwa Podlaskiego aplikowało z sukcesem  ok. 0,7% przedsiębiorców na łączną kwotę 58 641 267,85 zł . W przypadku Białegostoku było to niespełna 0,1% przedsiębiorców (198 221 185,14 zł), a w przypadku Łomży było to 0,61% (27 119 794,26 zł). </w:t>
      </w:r>
      <w:r w:rsidR="006C4B9D">
        <w:t>Również Ełk wypada</w:t>
      </w:r>
      <w:r w:rsidR="00427A8C">
        <w:t xml:space="preserve"> nieco słabiej</w:t>
      </w:r>
      <w:r w:rsidRPr="00AE26A5">
        <w:t xml:space="preserve"> niż Suwałki – 0,64% przedsiębiorców otrzymało dofinansowanie z Regionalnego Programu Operacyjnego Warmia i Mazury (21 318 812,40 zł). </w:t>
      </w:r>
    </w:p>
    <w:p w:rsidR="006E5CA6" w:rsidRDefault="006E5CA6" w:rsidP="006E5CA6">
      <w:pPr>
        <w:spacing w:after="0" w:line="240" w:lineRule="auto"/>
        <w:jc w:val="both"/>
      </w:pPr>
    </w:p>
    <w:p w:rsidR="005E16D5" w:rsidRPr="00AE26A5" w:rsidRDefault="005E16D5" w:rsidP="006E5CA6">
      <w:pPr>
        <w:spacing w:after="0" w:line="240" w:lineRule="auto"/>
        <w:jc w:val="both"/>
      </w:pPr>
      <w:r w:rsidRPr="00AE26A5">
        <w:t xml:space="preserve">Spośród wszystkich miast porównywanych w tabeli najlepsza sytuacja jest w Olsztynie, ponieważ w mieście tym aż 1,12% przedsiębiorców otrzymało dofinansowanie do swoich projektów na łączną kwotę 144 878 854,99 zł. </w:t>
      </w:r>
    </w:p>
    <w:p w:rsidR="006E5CA6" w:rsidRDefault="006E5CA6" w:rsidP="006E5CA6">
      <w:pPr>
        <w:spacing w:after="0" w:line="240" w:lineRule="auto"/>
        <w:jc w:val="both"/>
      </w:pPr>
    </w:p>
    <w:p w:rsidR="005E16D5" w:rsidRDefault="005E16D5" w:rsidP="006E5CA6">
      <w:pPr>
        <w:spacing w:after="0" w:line="240" w:lineRule="auto"/>
        <w:jc w:val="both"/>
      </w:pPr>
      <w:r w:rsidRPr="00C64A56">
        <w:t>Przystąpienie Polski do Unii Europejskiej w 2004 roku otworzyło polskim przedsiębiorcom drogę do pozyskiwania funduszy unijnych, stanowiących alternatywną wobec kredytów bankowych, formę wspar</w:t>
      </w:r>
      <w:r>
        <w:t xml:space="preserve">cia finansowego przedsiębiorstw. Kolejna perspektywa wydatkowania środków unijnych będzie w znacznym stopniu skierowana do </w:t>
      </w:r>
      <w:r>
        <w:rPr>
          <w:rStyle w:val="Pogrubienie"/>
          <w:b w:val="0"/>
        </w:rPr>
        <w:t>mikro-, małych</w:t>
      </w:r>
      <w:r w:rsidRPr="00A72513">
        <w:rPr>
          <w:rStyle w:val="Pogrubienie"/>
          <w:b w:val="0"/>
        </w:rPr>
        <w:t xml:space="preserve"> i średni</w:t>
      </w:r>
      <w:r>
        <w:rPr>
          <w:rStyle w:val="Pogrubienie"/>
          <w:b w:val="0"/>
        </w:rPr>
        <w:t>ch przedsiębiorstw</w:t>
      </w:r>
      <w:r w:rsidRPr="00A72513">
        <w:rPr>
          <w:rStyle w:val="Pogrubienie"/>
          <w:b w:val="0"/>
        </w:rPr>
        <w:t>,</w:t>
      </w:r>
      <w:r>
        <w:rPr>
          <w:rStyle w:val="Pogrubienie"/>
          <w:b w:val="0"/>
        </w:rPr>
        <w:t xml:space="preserve"> które będą mogły</w:t>
      </w:r>
      <w:r w:rsidRPr="00A72513">
        <w:rPr>
          <w:rStyle w:val="Pogrubienie"/>
          <w:b w:val="0"/>
        </w:rPr>
        <w:t xml:space="preserve"> liczyć na duże wsparcie ze środków unijnych na lata 2014-2020</w:t>
      </w:r>
      <w:r>
        <w:t xml:space="preserve">. Będzie to ogromna szansa dla tych przedsiębiorców, którzy zainwestują w badania, innowacje, nowe technologie i podnoszenie konkurencyjności swoich firm. </w:t>
      </w:r>
    </w:p>
    <w:p w:rsidR="005E16D5" w:rsidRPr="001D5BCC" w:rsidRDefault="005E16D5" w:rsidP="005E16D5">
      <w:pPr>
        <w:spacing w:after="0"/>
        <w:jc w:val="both"/>
      </w:pPr>
    </w:p>
    <w:p w:rsidR="00427A8C" w:rsidRDefault="00427A8C" w:rsidP="000A55AF">
      <w:pPr>
        <w:spacing w:after="0" w:line="240" w:lineRule="auto"/>
        <w:jc w:val="both"/>
        <w:rPr>
          <w:b/>
        </w:rPr>
      </w:pPr>
    </w:p>
    <w:p w:rsidR="00427A8C" w:rsidRDefault="00427A8C" w:rsidP="000A55AF">
      <w:pPr>
        <w:spacing w:after="0" w:line="240" w:lineRule="auto"/>
        <w:jc w:val="both"/>
        <w:rPr>
          <w:b/>
        </w:rPr>
      </w:pPr>
    </w:p>
    <w:p w:rsidR="00427A8C" w:rsidRDefault="00427A8C" w:rsidP="000A55AF">
      <w:pPr>
        <w:spacing w:after="0" w:line="240" w:lineRule="auto"/>
        <w:jc w:val="both"/>
        <w:rPr>
          <w:b/>
        </w:rPr>
      </w:pPr>
    </w:p>
    <w:p w:rsidR="00427A8C" w:rsidRDefault="00427A8C" w:rsidP="000A55AF">
      <w:pPr>
        <w:spacing w:after="0" w:line="240" w:lineRule="auto"/>
        <w:jc w:val="both"/>
        <w:rPr>
          <w:b/>
        </w:rPr>
      </w:pPr>
    </w:p>
    <w:p w:rsidR="00427A8C" w:rsidRDefault="00427A8C" w:rsidP="000A55AF">
      <w:pPr>
        <w:spacing w:after="0" w:line="240" w:lineRule="auto"/>
        <w:jc w:val="both"/>
        <w:rPr>
          <w:b/>
        </w:rPr>
      </w:pPr>
    </w:p>
    <w:p w:rsidR="006C4B9D" w:rsidRDefault="006C4B9D" w:rsidP="000A55AF">
      <w:pPr>
        <w:spacing w:after="0" w:line="240" w:lineRule="auto"/>
        <w:jc w:val="both"/>
        <w:rPr>
          <w:b/>
        </w:rPr>
      </w:pPr>
    </w:p>
    <w:p w:rsidR="006C4B9D" w:rsidRDefault="006C4B9D" w:rsidP="000A55AF">
      <w:pPr>
        <w:spacing w:after="0" w:line="240" w:lineRule="auto"/>
        <w:jc w:val="both"/>
        <w:rPr>
          <w:b/>
        </w:rPr>
      </w:pPr>
    </w:p>
    <w:p w:rsidR="005E16D5" w:rsidRPr="000A55AF" w:rsidRDefault="005E16D5" w:rsidP="000A55AF">
      <w:pPr>
        <w:spacing w:after="0" w:line="240" w:lineRule="auto"/>
        <w:jc w:val="both"/>
      </w:pPr>
      <w:r w:rsidRPr="00EB0BF2">
        <w:rPr>
          <w:b/>
        </w:rPr>
        <w:t>Tabela nr 2</w:t>
      </w:r>
      <w:r>
        <w:rPr>
          <w:b/>
        </w:rPr>
        <w:t>.</w:t>
      </w:r>
      <w:r w:rsidRPr="00EB0BF2">
        <w:rPr>
          <w:b/>
        </w:rPr>
        <w:t xml:space="preserve"> </w:t>
      </w:r>
      <w:r>
        <w:t>I</w:t>
      </w:r>
      <w:r w:rsidRPr="00EB0BF2">
        <w:t>lość środków pozyskany</w:t>
      </w:r>
      <w:r>
        <w:t>ch przez przedsiębiorców w ramach RPO</w:t>
      </w:r>
    </w:p>
    <w:tbl>
      <w:tblPr>
        <w:tblStyle w:val="Tabela-Siatka"/>
        <w:tblW w:w="5605" w:type="pct"/>
        <w:jc w:val="center"/>
        <w:tblInd w:w="-969" w:type="dxa"/>
        <w:tblLayout w:type="fixed"/>
        <w:tblLook w:val="04A0"/>
      </w:tblPr>
      <w:tblGrid>
        <w:gridCol w:w="1594"/>
        <w:gridCol w:w="1551"/>
        <w:gridCol w:w="1416"/>
        <w:gridCol w:w="1424"/>
        <w:gridCol w:w="1562"/>
        <w:gridCol w:w="1418"/>
        <w:gridCol w:w="1447"/>
      </w:tblGrid>
      <w:tr w:rsidR="005E16D5" w:rsidTr="006737FC">
        <w:trPr>
          <w:jc w:val="center"/>
        </w:trPr>
        <w:tc>
          <w:tcPr>
            <w:tcW w:w="5000" w:type="pct"/>
            <w:gridSpan w:val="7"/>
            <w:vAlign w:val="center"/>
          </w:tcPr>
          <w:p w:rsidR="005E16D5" w:rsidRDefault="005E16D5" w:rsidP="006737FC">
            <w:pPr>
              <w:rPr>
                <w:b/>
                <w:sz w:val="20"/>
                <w:szCs w:val="20"/>
              </w:rPr>
            </w:pPr>
          </w:p>
          <w:p w:rsidR="005E16D5" w:rsidRDefault="005E16D5" w:rsidP="006737FC">
            <w:pPr>
              <w:rPr>
                <w:b/>
                <w:sz w:val="20"/>
                <w:szCs w:val="20"/>
              </w:rPr>
            </w:pPr>
            <w:r w:rsidRPr="00EB0BF2">
              <w:rPr>
                <w:b/>
                <w:sz w:val="20"/>
                <w:szCs w:val="20"/>
              </w:rPr>
              <w:t>Ilość przedsiębiorców i ilość środków pozyskanych w ramach RPO (wartość dofinansowania)</w:t>
            </w:r>
          </w:p>
          <w:p w:rsidR="005E16D5" w:rsidRPr="00183107" w:rsidRDefault="005E16D5" w:rsidP="006737FC"/>
        </w:tc>
      </w:tr>
      <w:tr w:rsidR="005E16D5" w:rsidTr="006737FC">
        <w:trPr>
          <w:jc w:val="center"/>
        </w:trPr>
        <w:tc>
          <w:tcPr>
            <w:tcW w:w="765" w:type="pct"/>
          </w:tcPr>
          <w:p w:rsidR="005E16D5" w:rsidRPr="00EB0BF2" w:rsidRDefault="005E16D5" w:rsidP="006737FC">
            <w:pPr>
              <w:pStyle w:val="Akapitzlist"/>
              <w:ind w:left="0"/>
              <w:rPr>
                <w:b/>
                <w:sz w:val="16"/>
                <w:szCs w:val="16"/>
              </w:rPr>
            </w:pPr>
            <w:r w:rsidRPr="00EB0BF2">
              <w:rPr>
                <w:b/>
                <w:sz w:val="16"/>
                <w:szCs w:val="16"/>
              </w:rPr>
              <w:t>Obszary wsparcia</w:t>
            </w:r>
          </w:p>
        </w:tc>
        <w:tc>
          <w:tcPr>
            <w:tcW w:w="745" w:type="pct"/>
          </w:tcPr>
          <w:p w:rsidR="005E16D5" w:rsidRDefault="005E16D5" w:rsidP="006737FC">
            <w:pPr>
              <w:pStyle w:val="Akapitzlist"/>
              <w:ind w:left="0"/>
              <w:rPr>
                <w:b/>
                <w:sz w:val="16"/>
                <w:szCs w:val="16"/>
              </w:rPr>
            </w:pPr>
            <w:r>
              <w:rPr>
                <w:b/>
                <w:sz w:val="16"/>
                <w:szCs w:val="16"/>
              </w:rPr>
              <w:t xml:space="preserve">m. Białystok </w:t>
            </w:r>
          </w:p>
          <w:p w:rsidR="005E16D5" w:rsidRPr="001E43AA" w:rsidRDefault="005E16D5" w:rsidP="006737FC">
            <w:pPr>
              <w:pStyle w:val="Akapitzlist"/>
              <w:ind w:left="0"/>
              <w:rPr>
                <w:sz w:val="16"/>
                <w:szCs w:val="16"/>
              </w:rPr>
            </w:pPr>
            <w:r w:rsidRPr="001E43AA">
              <w:rPr>
                <w:sz w:val="16"/>
                <w:szCs w:val="16"/>
              </w:rPr>
              <w:t>(ludność 294 921, przedsiębiorcy 33 085)</w:t>
            </w:r>
          </w:p>
        </w:tc>
        <w:tc>
          <w:tcPr>
            <w:tcW w:w="680" w:type="pct"/>
          </w:tcPr>
          <w:p w:rsidR="005E16D5" w:rsidRDefault="005E16D5" w:rsidP="006737FC">
            <w:pPr>
              <w:pStyle w:val="Akapitzlist"/>
              <w:ind w:left="0"/>
              <w:rPr>
                <w:b/>
                <w:sz w:val="16"/>
                <w:szCs w:val="16"/>
              </w:rPr>
            </w:pPr>
            <w:r w:rsidRPr="002426F8">
              <w:rPr>
                <w:b/>
                <w:sz w:val="16"/>
                <w:szCs w:val="16"/>
              </w:rPr>
              <w:t>m. Suwałki</w:t>
            </w:r>
          </w:p>
          <w:p w:rsidR="005E16D5" w:rsidRPr="00EB0BF2" w:rsidRDefault="005E16D5" w:rsidP="006737FC">
            <w:pPr>
              <w:pStyle w:val="Akapitzlist"/>
              <w:ind w:left="0"/>
              <w:rPr>
                <w:sz w:val="16"/>
                <w:szCs w:val="16"/>
              </w:rPr>
            </w:pPr>
            <w:r w:rsidRPr="00EB0BF2">
              <w:rPr>
                <w:sz w:val="16"/>
                <w:szCs w:val="16"/>
              </w:rPr>
              <w:t>(ludność 69 404,</w:t>
            </w:r>
          </w:p>
          <w:p w:rsidR="005E16D5" w:rsidRPr="00EB0BF2" w:rsidRDefault="005E16D5" w:rsidP="006737FC">
            <w:pPr>
              <w:pStyle w:val="Akapitzlist"/>
              <w:ind w:left="0"/>
              <w:rPr>
                <w:sz w:val="16"/>
                <w:szCs w:val="16"/>
              </w:rPr>
            </w:pPr>
            <w:r w:rsidRPr="00EB0BF2">
              <w:rPr>
                <w:sz w:val="16"/>
                <w:szCs w:val="16"/>
              </w:rPr>
              <w:t>przedsiębiorcy</w:t>
            </w:r>
          </w:p>
          <w:p w:rsidR="005E16D5" w:rsidRPr="002426F8" w:rsidRDefault="005E16D5" w:rsidP="006737FC">
            <w:pPr>
              <w:pStyle w:val="Akapitzlist"/>
              <w:ind w:left="0"/>
              <w:rPr>
                <w:b/>
                <w:sz w:val="16"/>
                <w:szCs w:val="16"/>
              </w:rPr>
            </w:pPr>
            <w:r w:rsidRPr="00EB0BF2">
              <w:rPr>
                <w:sz w:val="16"/>
                <w:szCs w:val="16"/>
              </w:rPr>
              <w:t>6 957)</w:t>
            </w:r>
          </w:p>
        </w:tc>
        <w:tc>
          <w:tcPr>
            <w:tcW w:w="684" w:type="pct"/>
          </w:tcPr>
          <w:p w:rsidR="005E16D5" w:rsidRDefault="005E16D5" w:rsidP="006737FC">
            <w:pPr>
              <w:pStyle w:val="Akapitzlist"/>
              <w:ind w:left="0"/>
              <w:rPr>
                <w:b/>
                <w:sz w:val="16"/>
                <w:szCs w:val="16"/>
              </w:rPr>
            </w:pPr>
            <w:r w:rsidRPr="002426F8">
              <w:rPr>
                <w:b/>
                <w:sz w:val="16"/>
                <w:szCs w:val="16"/>
              </w:rPr>
              <w:t>m. Łomża</w:t>
            </w:r>
          </w:p>
          <w:p w:rsidR="005E16D5" w:rsidRPr="00EB0BF2" w:rsidRDefault="005E16D5" w:rsidP="006737FC">
            <w:pPr>
              <w:pStyle w:val="Akapitzlist"/>
              <w:ind w:left="0"/>
              <w:rPr>
                <w:sz w:val="16"/>
                <w:szCs w:val="16"/>
              </w:rPr>
            </w:pPr>
            <w:r w:rsidRPr="00EB0BF2">
              <w:rPr>
                <w:sz w:val="16"/>
                <w:szCs w:val="16"/>
              </w:rPr>
              <w:t>(ludność 62 812, przedsiębiorcy</w:t>
            </w:r>
          </w:p>
          <w:p w:rsidR="005E16D5" w:rsidRPr="002426F8" w:rsidRDefault="005E16D5" w:rsidP="006737FC">
            <w:pPr>
              <w:pStyle w:val="Akapitzlist"/>
              <w:ind w:left="0"/>
              <w:rPr>
                <w:b/>
                <w:sz w:val="16"/>
                <w:szCs w:val="16"/>
              </w:rPr>
            </w:pPr>
            <w:r w:rsidRPr="00EB0BF2">
              <w:rPr>
                <w:sz w:val="16"/>
                <w:szCs w:val="16"/>
              </w:rPr>
              <w:t>6 263)</w:t>
            </w:r>
          </w:p>
        </w:tc>
        <w:tc>
          <w:tcPr>
            <w:tcW w:w="750" w:type="pct"/>
          </w:tcPr>
          <w:p w:rsidR="005E16D5" w:rsidRPr="002426F8" w:rsidRDefault="005E16D5" w:rsidP="006737FC">
            <w:pPr>
              <w:pStyle w:val="Akapitzlist"/>
              <w:ind w:left="0"/>
              <w:rPr>
                <w:b/>
                <w:sz w:val="16"/>
                <w:szCs w:val="16"/>
              </w:rPr>
            </w:pPr>
            <w:r>
              <w:rPr>
                <w:b/>
                <w:sz w:val="16"/>
                <w:szCs w:val="16"/>
              </w:rPr>
              <w:t>Obszary wsparcia</w:t>
            </w:r>
          </w:p>
        </w:tc>
        <w:tc>
          <w:tcPr>
            <w:tcW w:w="681" w:type="pct"/>
          </w:tcPr>
          <w:p w:rsidR="005E16D5" w:rsidRDefault="005E16D5" w:rsidP="006737FC">
            <w:pPr>
              <w:pStyle w:val="Akapitzlist"/>
              <w:ind w:left="0"/>
              <w:rPr>
                <w:b/>
                <w:sz w:val="16"/>
                <w:szCs w:val="16"/>
              </w:rPr>
            </w:pPr>
            <w:r>
              <w:rPr>
                <w:b/>
                <w:sz w:val="16"/>
                <w:szCs w:val="16"/>
              </w:rPr>
              <w:t>m. Olsztyn</w:t>
            </w:r>
          </w:p>
          <w:p w:rsidR="005E16D5" w:rsidRDefault="005E16D5" w:rsidP="006737FC">
            <w:pPr>
              <w:pStyle w:val="Akapitzlist"/>
              <w:ind w:left="0"/>
              <w:rPr>
                <w:sz w:val="16"/>
                <w:szCs w:val="16"/>
              </w:rPr>
            </w:pPr>
            <w:r>
              <w:rPr>
                <w:sz w:val="16"/>
                <w:szCs w:val="16"/>
              </w:rPr>
              <w:t>(ludność 174 641</w:t>
            </w:r>
            <w:r w:rsidRPr="008F12F8">
              <w:rPr>
                <w:sz w:val="16"/>
                <w:szCs w:val="16"/>
              </w:rPr>
              <w:t xml:space="preserve">, przedsiębiorcy </w:t>
            </w:r>
          </w:p>
          <w:p w:rsidR="005E16D5" w:rsidRPr="008F12F8" w:rsidRDefault="005E16D5" w:rsidP="006737FC">
            <w:pPr>
              <w:pStyle w:val="Akapitzlist"/>
              <w:ind w:left="0"/>
              <w:rPr>
                <w:sz w:val="16"/>
                <w:szCs w:val="16"/>
              </w:rPr>
            </w:pPr>
            <w:r>
              <w:rPr>
                <w:sz w:val="16"/>
                <w:szCs w:val="16"/>
              </w:rPr>
              <w:t>22 712</w:t>
            </w:r>
            <w:r w:rsidRPr="008F12F8">
              <w:rPr>
                <w:sz w:val="16"/>
                <w:szCs w:val="16"/>
              </w:rPr>
              <w:t>)</w:t>
            </w:r>
          </w:p>
        </w:tc>
        <w:tc>
          <w:tcPr>
            <w:tcW w:w="696" w:type="pct"/>
          </w:tcPr>
          <w:p w:rsidR="005E16D5" w:rsidRPr="002426F8" w:rsidRDefault="005E16D5" w:rsidP="006737FC">
            <w:pPr>
              <w:pStyle w:val="Akapitzlist"/>
              <w:ind w:left="0"/>
              <w:rPr>
                <w:b/>
                <w:sz w:val="16"/>
                <w:szCs w:val="16"/>
              </w:rPr>
            </w:pPr>
            <w:r w:rsidRPr="002426F8">
              <w:rPr>
                <w:b/>
                <w:sz w:val="16"/>
                <w:szCs w:val="16"/>
              </w:rPr>
              <w:t>m. Ełk</w:t>
            </w:r>
          </w:p>
          <w:p w:rsidR="005E16D5" w:rsidRPr="00EB0BF2" w:rsidRDefault="005E16D5" w:rsidP="006737FC">
            <w:pPr>
              <w:pStyle w:val="Akapitzlist"/>
              <w:ind w:left="0"/>
              <w:rPr>
                <w:sz w:val="16"/>
                <w:szCs w:val="16"/>
              </w:rPr>
            </w:pPr>
            <w:r w:rsidRPr="00EB0BF2">
              <w:rPr>
                <w:sz w:val="16"/>
                <w:szCs w:val="16"/>
              </w:rPr>
              <w:t>(ludność 59 646,</w:t>
            </w:r>
          </w:p>
          <w:p w:rsidR="005E16D5" w:rsidRPr="00EB0BF2" w:rsidRDefault="005E16D5" w:rsidP="006737FC">
            <w:pPr>
              <w:pStyle w:val="Akapitzlist"/>
              <w:ind w:left="0"/>
              <w:rPr>
                <w:sz w:val="16"/>
                <w:szCs w:val="16"/>
              </w:rPr>
            </w:pPr>
            <w:r w:rsidRPr="00EB0BF2">
              <w:rPr>
                <w:sz w:val="16"/>
                <w:szCs w:val="16"/>
              </w:rPr>
              <w:t>przedsiębiorcy</w:t>
            </w:r>
          </w:p>
          <w:p w:rsidR="005E16D5" w:rsidRDefault="005E16D5" w:rsidP="006737FC">
            <w:pPr>
              <w:pStyle w:val="Akapitzlist"/>
              <w:ind w:left="0"/>
              <w:rPr>
                <w:b/>
                <w:sz w:val="16"/>
                <w:szCs w:val="16"/>
              </w:rPr>
            </w:pPr>
            <w:r w:rsidRPr="00EB0BF2">
              <w:rPr>
                <w:sz w:val="16"/>
                <w:szCs w:val="16"/>
              </w:rPr>
              <w:t>5 127)</w:t>
            </w:r>
          </w:p>
        </w:tc>
      </w:tr>
      <w:tr w:rsidR="005E16D5" w:rsidTr="006737FC">
        <w:trPr>
          <w:jc w:val="center"/>
        </w:trPr>
        <w:tc>
          <w:tcPr>
            <w:tcW w:w="765" w:type="pct"/>
          </w:tcPr>
          <w:p w:rsidR="005E16D5" w:rsidRPr="002426F8" w:rsidRDefault="005E16D5" w:rsidP="006737FC">
            <w:pPr>
              <w:pStyle w:val="Akapitzlist"/>
              <w:ind w:left="0"/>
              <w:jc w:val="left"/>
              <w:rPr>
                <w:b/>
                <w:sz w:val="16"/>
                <w:szCs w:val="16"/>
              </w:rPr>
            </w:pPr>
            <w:r w:rsidRPr="002426F8">
              <w:rPr>
                <w:b/>
                <w:sz w:val="16"/>
                <w:szCs w:val="16"/>
              </w:rPr>
              <w:t>Oś priorytetowa: 1. Wzrost innowacyjności i wspieranie przedsiębiorczości w regionie</w:t>
            </w:r>
          </w:p>
        </w:tc>
        <w:tc>
          <w:tcPr>
            <w:tcW w:w="745" w:type="pct"/>
          </w:tcPr>
          <w:p w:rsidR="006E5CA6" w:rsidRDefault="005E16D5" w:rsidP="006737FC">
            <w:pPr>
              <w:pStyle w:val="Akapitzlist"/>
              <w:ind w:left="0"/>
              <w:rPr>
                <w:rFonts w:ascii="Calibri" w:hAnsi="Calibri"/>
                <w:color w:val="000000"/>
                <w:sz w:val="16"/>
                <w:szCs w:val="16"/>
              </w:rPr>
            </w:pPr>
            <w:r w:rsidRPr="00E36BFB">
              <w:rPr>
                <w:rFonts w:ascii="Calibri" w:hAnsi="Calibri"/>
                <w:color w:val="000000"/>
                <w:sz w:val="16"/>
                <w:szCs w:val="16"/>
              </w:rPr>
              <w:t>176 018 016,38</w:t>
            </w:r>
            <w:r>
              <w:rPr>
                <w:rFonts w:ascii="Calibri" w:hAnsi="Calibri"/>
                <w:color w:val="000000"/>
                <w:sz w:val="16"/>
                <w:szCs w:val="16"/>
              </w:rPr>
              <w:t xml:space="preserve"> </w:t>
            </w:r>
          </w:p>
          <w:p w:rsidR="005E16D5" w:rsidRPr="00E36BFB" w:rsidRDefault="005E16D5" w:rsidP="006737FC">
            <w:pPr>
              <w:pStyle w:val="Akapitzlist"/>
              <w:ind w:left="0"/>
              <w:rPr>
                <w:rFonts w:ascii="Calibri" w:hAnsi="Calibri"/>
                <w:color w:val="000000"/>
                <w:sz w:val="16"/>
                <w:szCs w:val="16"/>
              </w:rPr>
            </w:pPr>
            <w:r>
              <w:rPr>
                <w:rFonts w:ascii="Calibri" w:hAnsi="Calibri"/>
                <w:color w:val="000000"/>
                <w:sz w:val="16"/>
                <w:szCs w:val="16"/>
              </w:rPr>
              <w:t>(306 przedsiębiorców)</w:t>
            </w:r>
          </w:p>
          <w:p w:rsidR="005E16D5" w:rsidRPr="002426F8" w:rsidRDefault="005E16D5" w:rsidP="006737FC">
            <w:pPr>
              <w:pStyle w:val="Akapitzlist"/>
              <w:ind w:left="0"/>
              <w:rPr>
                <w:rFonts w:ascii="Calibri" w:hAnsi="Calibri"/>
                <w:color w:val="000000"/>
                <w:sz w:val="16"/>
                <w:szCs w:val="16"/>
              </w:rPr>
            </w:pPr>
          </w:p>
        </w:tc>
        <w:tc>
          <w:tcPr>
            <w:tcW w:w="680" w:type="pct"/>
          </w:tcPr>
          <w:p w:rsidR="005E16D5" w:rsidRPr="002426F8" w:rsidRDefault="005E16D5" w:rsidP="006737FC">
            <w:pPr>
              <w:pStyle w:val="Akapitzlist"/>
              <w:ind w:left="0"/>
              <w:jc w:val="left"/>
              <w:rPr>
                <w:sz w:val="16"/>
                <w:szCs w:val="16"/>
              </w:rPr>
            </w:pPr>
            <w:r w:rsidRPr="002426F8">
              <w:rPr>
                <w:rFonts w:ascii="Calibri" w:hAnsi="Calibri"/>
                <w:color w:val="000000"/>
                <w:sz w:val="16"/>
                <w:szCs w:val="16"/>
              </w:rPr>
              <w:t xml:space="preserve">41 924 927,28 </w:t>
            </w:r>
            <w:r>
              <w:rPr>
                <w:rFonts w:ascii="Calibri" w:hAnsi="Calibri"/>
                <w:color w:val="000000"/>
                <w:sz w:val="16"/>
                <w:szCs w:val="16"/>
              </w:rPr>
              <w:t>(</w:t>
            </w:r>
            <w:r w:rsidRPr="002426F8">
              <w:rPr>
                <w:sz w:val="16"/>
                <w:szCs w:val="16"/>
              </w:rPr>
              <w:t>41 przedsiębiorców</w:t>
            </w:r>
            <w:r>
              <w:rPr>
                <w:sz w:val="16"/>
                <w:szCs w:val="16"/>
              </w:rPr>
              <w:t>)</w:t>
            </w:r>
          </w:p>
        </w:tc>
        <w:tc>
          <w:tcPr>
            <w:tcW w:w="684" w:type="pct"/>
          </w:tcPr>
          <w:p w:rsidR="005E16D5" w:rsidRPr="002426F8" w:rsidRDefault="005E16D5" w:rsidP="006737FC">
            <w:pPr>
              <w:pStyle w:val="Akapitzlist"/>
              <w:ind w:left="0"/>
              <w:jc w:val="left"/>
              <w:rPr>
                <w:sz w:val="16"/>
                <w:szCs w:val="16"/>
              </w:rPr>
            </w:pPr>
            <w:r w:rsidRPr="002426F8">
              <w:rPr>
                <w:rFonts w:ascii="Calibri" w:hAnsi="Calibri"/>
                <w:color w:val="000000"/>
                <w:sz w:val="16"/>
                <w:szCs w:val="16"/>
              </w:rPr>
              <w:t xml:space="preserve">23 689 756,81 </w:t>
            </w:r>
            <w:r>
              <w:rPr>
                <w:rFonts w:ascii="Calibri" w:hAnsi="Calibri"/>
                <w:color w:val="000000"/>
                <w:sz w:val="16"/>
                <w:szCs w:val="16"/>
              </w:rPr>
              <w:t>(</w:t>
            </w:r>
            <w:r w:rsidRPr="002426F8">
              <w:rPr>
                <w:sz w:val="16"/>
                <w:szCs w:val="16"/>
              </w:rPr>
              <w:t>3</w:t>
            </w:r>
            <w:r>
              <w:rPr>
                <w:sz w:val="16"/>
                <w:szCs w:val="16"/>
              </w:rPr>
              <w:t>7</w:t>
            </w:r>
            <w:r w:rsidR="00427A8C">
              <w:rPr>
                <w:sz w:val="16"/>
                <w:szCs w:val="16"/>
              </w:rPr>
              <w:t xml:space="preserve"> przedsiębiorców</w:t>
            </w:r>
            <w:r w:rsidRPr="002426F8">
              <w:rPr>
                <w:rFonts w:ascii="Calibri" w:hAnsi="Calibri"/>
                <w:color w:val="000000"/>
                <w:sz w:val="16"/>
                <w:szCs w:val="16"/>
              </w:rPr>
              <w:t>)</w:t>
            </w:r>
          </w:p>
        </w:tc>
        <w:tc>
          <w:tcPr>
            <w:tcW w:w="750" w:type="pct"/>
          </w:tcPr>
          <w:p w:rsidR="005E16D5" w:rsidRPr="002426F8" w:rsidRDefault="005E16D5" w:rsidP="006737FC">
            <w:pPr>
              <w:pStyle w:val="Akapitzlist"/>
              <w:ind w:left="0"/>
              <w:jc w:val="left"/>
              <w:rPr>
                <w:b/>
                <w:sz w:val="16"/>
                <w:szCs w:val="16"/>
              </w:rPr>
            </w:pPr>
            <w:r w:rsidRPr="002426F8">
              <w:rPr>
                <w:b/>
                <w:sz w:val="16"/>
                <w:szCs w:val="16"/>
              </w:rPr>
              <w:t>Oś priorytetowa: 1. Przedsiębiorczość</w:t>
            </w:r>
          </w:p>
        </w:tc>
        <w:tc>
          <w:tcPr>
            <w:tcW w:w="681" w:type="pct"/>
          </w:tcPr>
          <w:p w:rsidR="006E5CA6" w:rsidRDefault="005E16D5" w:rsidP="006737FC">
            <w:pPr>
              <w:pStyle w:val="Akapitzlist"/>
              <w:ind w:left="-56" w:right="-95"/>
              <w:rPr>
                <w:sz w:val="16"/>
                <w:szCs w:val="16"/>
              </w:rPr>
            </w:pPr>
            <w:r>
              <w:rPr>
                <w:sz w:val="16"/>
                <w:szCs w:val="16"/>
              </w:rPr>
              <w:t xml:space="preserve">92 676 678,51 </w:t>
            </w:r>
          </w:p>
          <w:p w:rsidR="005E16D5" w:rsidRPr="002426F8" w:rsidRDefault="005E16D5" w:rsidP="006737FC">
            <w:pPr>
              <w:pStyle w:val="Akapitzlist"/>
              <w:ind w:left="-56" w:right="-95"/>
              <w:rPr>
                <w:sz w:val="16"/>
                <w:szCs w:val="16"/>
              </w:rPr>
            </w:pPr>
            <w:r>
              <w:rPr>
                <w:sz w:val="16"/>
                <w:szCs w:val="16"/>
              </w:rPr>
              <w:t>(186 przedsiębiorców)</w:t>
            </w:r>
          </w:p>
        </w:tc>
        <w:tc>
          <w:tcPr>
            <w:tcW w:w="696" w:type="pct"/>
          </w:tcPr>
          <w:p w:rsidR="005E16D5" w:rsidRDefault="005E16D5" w:rsidP="006737FC">
            <w:pPr>
              <w:pStyle w:val="Akapitzlist"/>
              <w:ind w:left="-56" w:right="-95"/>
              <w:rPr>
                <w:sz w:val="16"/>
                <w:szCs w:val="16"/>
              </w:rPr>
            </w:pPr>
            <w:r w:rsidRPr="002426F8">
              <w:rPr>
                <w:sz w:val="16"/>
                <w:szCs w:val="16"/>
              </w:rPr>
              <w:t>17 631 823,27</w:t>
            </w:r>
            <w:r>
              <w:rPr>
                <w:sz w:val="16"/>
                <w:szCs w:val="16"/>
              </w:rPr>
              <w:t>(</w:t>
            </w:r>
            <w:r w:rsidRPr="002426F8">
              <w:rPr>
                <w:sz w:val="16"/>
                <w:szCs w:val="16"/>
              </w:rPr>
              <w:t>25</w:t>
            </w:r>
            <w:r w:rsidR="00427A8C">
              <w:rPr>
                <w:sz w:val="16"/>
                <w:szCs w:val="16"/>
              </w:rPr>
              <w:t xml:space="preserve"> przedsiębiorców</w:t>
            </w:r>
            <w:r>
              <w:rPr>
                <w:sz w:val="16"/>
                <w:szCs w:val="16"/>
              </w:rPr>
              <w:t>)</w:t>
            </w:r>
          </w:p>
        </w:tc>
      </w:tr>
      <w:tr w:rsidR="005E16D5" w:rsidTr="006737FC">
        <w:trPr>
          <w:trHeight w:val="619"/>
          <w:jc w:val="center"/>
        </w:trPr>
        <w:tc>
          <w:tcPr>
            <w:tcW w:w="2873" w:type="pct"/>
            <w:gridSpan w:val="4"/>
          </w:tcPr>
          <w:p w:rsidR="005E16D5" w:rsidRPr="002426F8" w:rsidRDefault="005E16D5" w:rsidP="006737FC">
            <w:pPr>
              <w:pStyle w:val="Akapitzlist"/>
              <w:ind w:left="0"/>
              <w:rPr>
                <w:sz w:val="16"/>
                <w:szCs w:val="16"/>
              </w:rPr>
            </w:pPr>
          </w:p>
        </w:tc>
        <w:tc>
          <w:tcPr>
            <w:tcW w:w="750" w:type="pct"/>
          </w:tcPr>
          <w:p w:rsidR="005E16D5" w:rsidRPr="002426F8" w:rsidRDefault="005E16D5" w:rsidP="006737FC">
            <w:pPr>
              <w:pStyle w:val="Akapitzlist"/>
              <w:ind w:left="0"/>
              <w:jc w:val="left"/>
              <w:rPr>
                <w:b/>
                <w:sz w:val="16"/>
                <w:szCs w:val="16"/>
              </w:rPr>
            </w:pPr>
            <w:r>
              <w:rPr>
                <w:b/>
                <w:sz w:val="16"/>
                <w:szCs w:val="16"/>
              </w:rPr>
              <w:t>Oś priorytetowa: 2. Turystyka</w:t>
            </w:r>
          </w:p>
        </w:tc>
        <w:tc>
          <w:tcPr>
            <w:tcW w:w="681" w:type="pct"/>
          </w:tcPr>
          <w:p w:rsidR="005E16D5" w:rsidRPr="002426F8" w:rsidRDefault="005E16D5" w:rsidP="006737FC">
            <w:pPr>
              <w:pStyle w:val="Akapitzlist"/>
              <w:ind w:left="0"/>
              <w:rPr>
                <w:sz w:val="16"/>
                <w:szCs w:val="16"/>
              </w:rPr>
            </w:pPr>
            <w:r>
              <w:rPr>
                <w:sz w:val="16"/>
                <w:szCs w:val="16"/>
              </w:rPr>
              <w:t>4 970 551,87 (2)</w:t>
            </w:r>
          </w:p>
        </w:tc>
        <w:tc>
          <w:tcPr>
            <w:tcW w:w="696" w:type="pct"/>
          </w:tcPr>
          <w:p w:rsidR="005E16D5" w:rsidRDefault="005E16D5" w:rsidP="006737FC">
            <w:pPr>
              <w:pStyle w:val="Akapitzlist"/>
              <w:ind w:left="0"/>
              <w:rPr>
                <w:sz w:val="16"/>
                <w:szCs w:val="16"/>
              </w:rPr>
            </w:pPr>
          </w:p>
        </w:tc>
      </w:tr>
      <w:tr w:rsidR="005E16D5" w:rsidTr="006737FC">
        <w:trPr>
          <w:trHeight w:val="619"/>
          <w:jc w:val="center"/>
        </w:trPr>
        <w:tc>
          <w:tcPr>
            <w:tcW w:w="765" w:type="pct"/>
          </w:tcPr>
          <w:p w:rsidR="005E16D5" w:rsidRPr="002426F8" w:rsidRDefault="005E16D5" w:rsidP="006737FC">
            <w:pPr>
              <w:pStyle w:val="Akapitzlist"/>
              <w:ind w:left="0"/>
              <w:jc w:val="left"/>
              <w:rPr>
                <w:b/>
                <w:sz w:val="16"/>
                <w:szCs w:val="16"/>
              </w:rPr>
            </w:pPr>
            <w:r w:rsidRPr="002426F8">
              <w:rPr>
                <w:b/>
                <w:sz w:val="16"/>
                <w:szCs w:val="16"/>
              </w:rPr>
              <w:t xml:space="preserve">Oś priorytetowa: 3. Rozwój turystyki i kultury </w:t>
            </w:r>
          </w:p>
        </w:tc>
        <w:tc>
          <w:tcPr>
            <w:tcW w:w="745" w:type="pct"/>
          </w:tcPr>
          <w:p w:rsidR="005E16D5" w:rsidRPr="002426F8" w:rsidRDefault="005E16D5" w:rsidP="006737FC">
            <w:pPr>
              <w:pStyle w:val="Akapitzlist"/>
              <w:ind w:left="0"/>
              <w:rPr>
                <w:rFonts w:ascii="Calibri" w:hAnsi="Calibri"/>
                <w:color w:val="000000"/>
                <w:sz w:val="16"/>
                <w:szCs w:val="16"/>
              </w:rPr>
            </w:pPr>
            <w:r>
              <w:rPr>
                <w:rFonts w:ascii="Calibri" w:hAnsi="Calibri"/>
                <w:color w:val="000000"/>
                <w:sz w:val="16"/>
                <w:szCs w:val="16"/>
              </w:rPr>
              <w:t>14 298 606,39 (5)</w:t>
            </w:r>
            <w:r w:rsidR="00427A8C" w:rsidRPr="006C4B9D">
              <w:rPr>
                <w:rStyle w:val="Odwoanieprzypisudolnego"/>
                <w:rFonts w:ascii="Calibri" w:hAnsi="Calibri"/>
                <w:color w:val="000000"/>
                <w:sz w:val="18"/>
                <w:szCs w:val="18"/>
              </w:rPr>
              <w:footnoteReference w:id="6"/>
            </w:r>
          </w:p>
        </w:tc>
        <w:tc>
          <w:tcPr>
            <w:tcW w:w="680" w:type="pct"/>
          </w:tcPr>
          <w:p w:rsidR="005E16D5" w:rsidRPr="002426F8" w:rsidRDefault="005E16D5" w:rsidP="006737FC">
            <w:pPr>
              <w:pStyle w:val="Akapitzlist"/>
              <w:ind w:left="0"/>
              <w:jc w:val="left"/>
              <w:rPr>
                <w:sz w:val="16"/>
                <w:szCs w:val="16"/>
              </w:rPr>
            </w:pPr>
            <w:r w:rsidRPr="002426F8">
              <w:rPr>
                <w:rFonts w:ascii="Calibri" w:hAnsi="Calibri"/>
                <w:color w:val="000000"/>
                <w:sz w:val="16"/>
                <w:szCs w:val="16"/>
              </w:rPr>
              <w:t xml:space="preserve">16 487 034,00 </w:t>
            </w:r>
            <w:r>
              <w:rPr>
                <w:sz w:val="16"/>
                <w:szCs w:val="16"/>
              </w:rPr>
              <w:t>(</w:t>
            </w:r>
            <w:r w:rsidRPr="002426F8">
              <w:rPr>
                <w:sz w:val="16"/>
                <w:szCs w:val="16"/>
              </w:rPr>
              <w:t>5</w:t>
            </w:r>
            <w:r>
              <w:rPr>
                <w:sz w:val="16"/>
                <w:szCs w:val="16"/>
              </w:rPr>
              <w:t>)</w:t>
            </w:r>
          </w:p>
        </w:tc>
        <w:tc>
          <w:tcPr>
            <w:tcW w:w="684" w:type="pct"/>
          </w:tcPr>
          <w:p w:rsidR="005E16D5" w:rsidRPr="002426F8" w:rsidRDefault="005E16D5" w:rsidP="006737FC">
            <w:pPr>
              <w:pStyle w:val="Akapitzlist"/>
              <w:ind w:left="0"/>
              <w:jc w:val="left"/>
              <w:rPr>
                <w:sz w:val="16"/>
                <w:szCs w:val="16"/>
              </w:rPr>
            </w:pPr>
          </w:p>
        </w:tc>
        <w:tc>
          <w:tcPr>
            <w:tcW w:w="750" w:type="pct"/>
          </w:tcPr>
          <w:p w:rsidR="005E16D5" w:rsidRPr="002426F8" w:rsidRDefault="005E16D5" w:rsidP="006737FC">
            <w:pPr>
              <w:pStyle w:val="Akapitzlist"/>
              <w:ind w:left="0"/>
              <w:jc w:val="left"/>
              <w:rPr>
                <w:b/>
                <w:sz w:val="16"/>
                <w:szCs w:val="16"/>
              </w:rPr>
            </w:pPr>
            <w:r w:rsidRPr="002426F8">
              <w:rPr>
                <w:b/>
                <w:sz w:val="16"/>
                <w:szCs w:val="16"/>
              </w:rPr>
              <w:t>Oś priorytetowa: 3. Infrastruktura społeczna</w:t>
            </w:r>
          </w:p>
        </w:tc>
        <w:tc>
          <w:tcPr>
            <w:tcW w:w="681" w:type="pct"/>
          </w:tcPr>
          <w:p w:rsidR="005E16D5" w:rsidRPr="002426F8" w:rsidRDefault="005E16D5" w:rsidP="006737FC">
            <w:pPr>
              <w:pStyle w:val="Akapitzlist"/>
              <w:ind w:left="0"/>
              <w:rPr>
                <w:sz w:val="16"/>
                <w:szCs w:val="16"/>
              </w:rPr>
            </w:pPr>
          </w:p>
        </w:tc>
        <w:tc>
          <w:tcPr>
            <w:tcW w:w="696" w:type="pct"/>
          </w:tcPr>
          <w:p w:rsidR="005E16D5" w:rsidRPr="002426F8" w:rsidRDefault="005E16D5" w:rsidP="006737FC">
            <w:pPr>
              <w:pStyle w:val="Akapitzlist"/>
              <w:ind w:left="0"/>
              <w:jc w:val="left"/>
              <w:rPr>
                <w:sz w:val="16"/>
                <w:szCs w:val="16"/>
              </w:rPr>
            </w:pPr>
            <w:r w:rsidRPr="002426F8">
              <w:rPr>
                <w:sz w:val="16"/>
                <w:szCs w:val="16"/>
              </w:rPr>
              <w:t>1 080 664,11</w:t>
            </w:r>
            <w:r>
              <w:rPr>
                <w:sz w:val="16"/>
                <w:szCs w:val="16"/>
              </w:rPr>
              <w:t xml:space="preserve"> (</w:t>
            </w:r>
            <w:r w:rsidRPr="002426F8">
              <w:rPr>
                <w:sz w:val="16"/>
                <w:szCs w:val="16"/>
              </w:rPr>
              <w:t>1</w:t>
            </w:r>
            <w:r>
              <w:rPr>
                <w:sz w:val="16"/>
                <w:szCs w:val="16"/>
              </w:rPr>
              <w:t>)</w:t>
            </w:r>
            <w:r w:rsidRPr="002426F8">
              <w:rPr>
                <w:sz w:val="16"/>
                <w:szCs w:val="16"/>
              </w:rPr>
              <w:t xml:space="preserve"> </w:t>
            </w:r>
          </w:p>
          <w:p w:rsidR="005E16D5" w:rsidRPr="002426F8" w:rsidRDefault="005E16D5" w:rsidP="006737FC">
            <w:pPr>
              <w:pStyle w:val="Akapitzlist"/>
              <w:ind w:left="0"/>
              <w:rPr>
                <w:sz w:val="16"/>
                <w:szCs w:val="16"/>
              </w:rPr>
            </w:pPr>
          </w:p>
        </w:tc>
      </w:tr>
      <w:tr w:rsidR="005E16D5" w:rsidTr="006737FC">
        <w:trPr>
          <w:jc w:val="center"/>
        </w:trPr>
        <w:tc>
          <w:tcPr>
            <w:tcW w:w="765" w:type="pct"/>
          </w:tcPr>
          <w:p w:rsidR="005E16D5" w:rsidRPr="002426F8" w:rsidRDefault="005E16D5" w:rsidP="006737FC">
            <w:pPr>
              <w:pStyle w:val="Akapitzlist"/>
              <w:ind w:left="0"/>
              <w:jc w:val="left"/>
              <w:rPr>
                <w:b/>
                <w:sz w:val="16"/>
                <w:szCs w:val="16"/>
              </w:rPr>
            </w:pPr>
            <w:r w:rsidRPr="002426F8">
              <w:rPr>
                <w:b/>
                <w:sz w:val="16"/>
                <w:szCs w:val="16"/>
              </w:rPr>
              <w:t>Oś priorytetowa: 4. Społeczeństwo informacyjne</w:t>
            </w:r>
          </w:p>
        </w:tc>
        <w:tc>
          <w:tcPr>
            <w:tcW w:w="745" w:type="pct"/>
          </w:tcPr>
          <w:p w:rsidR="005E16D5" w:rsidRDefault="005E16D5" w:rsidP="006737FC">
            <w:pPr>
              <w:pStyle w:val="Akapitzlist"/>
              <w:ind w:left="0"/>
              <w:rPr>
                <w:sz w:val="16"/>
                <w:szCs w:val="16"/>
              </w:rPr>
            </w:pPr>
            <w:r>
              <w:rPr>
                <w:sz w:val="16"/>
                <w:szCs w:val="16"/>
              </w:rPr>
              <w:t>4 226 428,00 (1</w:t>
            </w:r>
          </w:p>
        </w:tc>
        <w:tc>
          <w:tcPr>
            <w:tcW w:w="680" w:type="pct"/>
          </w:tcPr>
          <w:p w:rsidR="005E16D5" w:rsidRPr="002426F8" w:rsidRDefault="005E16D5" w:rsidP="006737FC">
            <w:pPr>
              <w:pStyle w:val="Akapitzlist"/>
              <w:ind w:left="0"/>
              <w:rPr>
                <w:sz w:val="16"/>
                <w:szCs w:val="16"/>
              </w:rPr>
            </w:pPr>
          </w:p>
        </w:tc>
        <w:tc>
          <w:tcPr>
            <w:tcW w:w="684" w:type="pct"/>
          </w:tcPr>
          <w:p w:rsidR="005E16D5" w:rsidRPr="002426F8" w:rsidRDefault="005E16D5" w:rsidP="006737FC">
            <w:pPr>
              <w:pStyle w:val="Akapitzlist"/>
              <w:ind w:left="0"/>
              <w:jc w:val="left"/>
              <w:rPr>
                <w:sz w:val="16"/>
                <w:szCs w:val="16"/>
              </w:rPr>
            </w:pPr>
            <w:r w:rsidRPr="002426F8">
              <w:rPr>
                <w:sz w:val="16"/>
                <w:szCs w:val="16"/>
              </w:rPr>
              <w:t xml:space="preserve">3 430 037,45 </w:t>
            </w:r>
            <w:r>
              <w:rPr>
                <w:sz w:val="16"/>
                <w:szCs w:val="16"/>
              </w:rPr>
              <w:t>(</w:t>
            </w:r>
            <w:r w:rsidRPr="002426F8">
              <w:rPr>
                <w:sz w:val="16"/>
                <w:szCs w:val="16"/>
              </w:rPr>
              <w:t>1</w:t>
            </w:r>
            <w:r>
              <w:rPr>
                <w:sz w:val="16"/>
                <w:szCs w:val="16"/>
              </w:rPr>
              <w:t>)</w:t>
            </w:r>
            <w:r w:rsidRPr="002426F8">
              <w:rPr>
                <w:sz w:val="16"/>
                <w:szCs w:val="16"/>
              </w:rPr>
              <w:t xml:space="preserve"> </w:t>
            </w:r>
          </w:p>
          <w:p w:rsidR="005E16D5" w:rsidRPr="002426F8" w:rsidRDefault="005E16D5" w:rsidP="006737FC">
            <w:pPr>
              <w:pStyle w:val="Akapitzlist"/>
              <w:ind w:left="0"/>
              <w:rPr>
                <w:sz w:val="16"/>
                <w:szCs w:val="16"/>
              </w:rPr>
            </w:pPr>
          </w:p>
        </w:tc>
        <w:tc>
          <w:tcPr>
            <w:tcW w:w="750" w:type="pct"/>
          </w:tcPr>
          <w:p w:rsidR="005E16D5" w:rsidRPr="002426F8" w:rsidRDefault="005E16D5" w:rsidP="006737FC">
            <w:pPr>
              <w:pStyle w:val="Akapitzlist"/>
              <w:ind w:left="0"/>
              <w:jc w:val="left"/>
              <w:rPr>
                <w:b/>
                <w:sz w:val="16"/>
                <w:szCs w:val="16"/>
              </w:rPr>
            </w:pPr>
            <w:r>
              <w:rPr>
                <w:b/>
                <w:sz w:val="16"/>
                <w:szCs w:val="16"/>
              </w:rPr>
              <w:t>Oś priorytetowa: 4. Rozwój, restrukturyzacja i rewitalizacja miast</w:t>
            </w:r>
          </w:p>
        </w:tc>
        <w:tc>
          <w:tcPr>
            <w:tcW w:w="681" w:type="pct"/>
          </w:tcPr>
          <w:p w:rsidR="005E16D5" w:rsidRPr="002426F8" w:rsidRDefault="005E16D5" w:rsidP="006737FC">
            <w:pPr>
              <w:pStyle w:val="Akapitzlist"/>
              <w:ind w:left="2353" w:right="-993" w:hanging="2353"/>
              <w:jc w:val="left"/>
              <w:rPr>
                <w:sz w:val="16"/>
                <w:szCs w:val="16"/>
              </w:rPr>
            </w:pPr>
            <w:r>
              <w:rPr>
                <w:sz w:val="16"/>
                <w:szCs w:val="16"/>
              </w:rPr>
              <w:t>13 028 526,13 (9)</w:t>
            </w:r>
          </w:p>
        </w:tc>
        <w:tc>
          <w:tcPr>
            <w:tcW w:w="696" w:type="pct"/>
          </w:tcPr>
          <w:p w:rsidR="005E16D5" w:rsidRDefault="005E16D5" w:rsidP="006737FC">
            <w:pPr>
              <w:pStyle w:val="Akapitzlist"/>
              <w:ind w:left="2353" w:right="-993" w:hanging="2353"/>
              <w:rPr>
                <w:sz w:val="16"/>
                <w:szCs w:val="16"/>
              </w:rPr>
            </w:pPr>
          </w:p>
        </w:tc>
      </w:tr>
      <w:tr w:rsidR="005E16D5" w:rsidTr="006737FC">
        <w:trPr>
          <w:jc w:val="center"/>
        </w:trPr>
        <w:tc>
          <w:tcPr>
            <w:tcW w:w="765" w:type="pct"/>
          </w:tcPr>
          <w:p w:rsidR="005E16D5" w:rsidRPr="002426F8" w:rsidRDefault="005E16D5" w:rsidP="006737FC">
            <w:pPr>
              <w:pStyle w:val="Akapitzlist"/>
              <w:ind w:left="0"/>
              <w:jc w:val="left"/>
              <w:rPr>
                <w:b/>
                <w:sz w:val="16"/>
                <w:szCs w:val="16"/>
              </w:rPr>
            </w:pPr>
            <w:r w:rsidRPr="002426F8">
              <w:rPr>
                <w:b/>
                <w:sz w:val="16"/>
                <w:szCs w:val="16"/>
              </w:rPr>
              <w:t>Oś priorytetowa: 5. Rozwój infrastruktury ochrony środowiska</w:t>
            </w:r>
          </w:p>
        </w:tc>
        <w:tc>
          <w:tcPr>
            <w:tcW w:w="745" w:type="pct"/>
          </w:tcPr>
          <w:p w:rsidR="005E16D5" w:rsidRDefault="005E16D5" w:rsidP="006737FC">
            <w:pPr>
              <w:pStyle w:val="Akapitzlist"/>
              <w:ind w:left="0"/>
              <w:rPr>
                <w:sz w:val="16"/>
                <w:szCs w:val="16"/>
              </w:rPr>
            </w:pPr>
            <w:r>
              <w:rPr>
                <w:sz w:val="16"/>
                <w:szCs w:val="16"/>
              </w:rPr>
              <w:t>3 280 444,72 (3)</w:t>
            </w:r>
          </w:p>
        </w:tc>
        <w:tc>
          <w:tcPr>
            <w:tcW w:w="680" w:type="pct"/>
          </w:tcPr>
          <w:p w:rsidR="005E16D5" w:rsidRPr="002426F8" w:rsidRDefault="005E16D5" w:rsidP="006737FC">
            <w:pPr>
              <w:pStyle w:val="Akapitzlist"/>
              <w:ind w:left="0"/>
              <w:rPr>
                <w:sz w:val="16"/>
                <w:szCs w:val="16"/>
              </w:rPr>
            </w:pPr>
            <w:r w:rsidRPr="002426F8">
              <w:rPr>
                <w:sz w:val="16"/>
                <w:szCs w:val="16"/>
              </w:rPr>
              <w:t>229 306,57</w:t>
            </w:r>
            <w:r>
              <w:rPr>
                <w:sz w:val="16"/>
                <w:szCs w:val="16"/>
              </w:rPr>
              <w:t xml:space="preserve"> (1)</w:t>
            </w:r>
          </w:p>
        </w:tc>
        <w:tc>
          <w:tcPr>
            <w:tcW w:w="684" w:type="pct"/>
          </w:tcPr>
          <w:p w:rsidR="005E16D5" w:rsidRPr="002426F8" w:rsidRDefault="005E16D5" w:rsidP="006737FC">
            <w:pPr>
              <w:pStyle w:val="Akapitzlist"/>
              <w:ind w:left="0"/>
              <w:rPr>
                <w:sz w:val="16"/>
                <w:szCs w:val="16"/>
              </w:rPr>
            </w:pPr>
          </w:p>
        </w:tc>
        <w:tc>
          <w:tcPr>
            <w:tcW w:w="2127" w:type="pct"/>
            <w:gridSpan w:val="3"/>
          </w:tcPr>
          <w:p w:rsidR="005E16D5" w:rsidRDefault="005E16D5" w:rsidP="006737FC">
            <w:pPr>
              <w:pStyle w:val="Akapitzlist"/>
              <w:ind w:left="2353" w:right="-993" w:hanging="2353"/>
              <w:rPr>
                <w:sz w:val="16"/>
                <w:szCs w:val="16"/>
              </w:rPr>
            </w:pPr>
          </w:p>
        </w:tc>
      </w:tr>
      <w:tr w:rsidR="005E16D5" w:rsidTr="006737FC">
        <w:trPr>
          <w:jc w:val="center"/>
        </w:trPr>
        <w:tc>
          <w:tcPr>
            <w:tcW w:w="765" w:type="pct"/>
          </w:tcPr>
          <w:p w:rsidR="005E16D5" w:rsidRPr="002426F8" w:rsidRDefault="005E16D5" w:rsidP="006737FC">
            <w:pPr>
              <w:pStyle w:val="Akapitzlist"/>
              <w:ind w:left="0"/>
              <w:jc w:val="left"/>
              <w:rPr>
                <w:b/>
                <w:sz w:val="16"/>
                <w:szCs w:val="16"/>
              </w:rPr>
            </w:pPr>
            <w:r>
              <w:rPr>
                <w:b/>
                <w:sz w:val="16"/>
                <w:szCs w:val="16"/>
              </w:rPr>
              <w:t>Oś priorytetowa: 6. Rozwój Infrastruktury Społecznej</w:t>
            </w:r>
          </w:p>
        </w:tc>
        <w:tc>
          <w:tcPr>
            <w:tcW w:w="745" w:type="pct"/>
          </w:tcPr>
          <w:p w:rsidR="005E16D5" w:rsidRDefault="005E16D5" w:rsidP="006737FC">
            <w:pPr>
              <w:pStyle w:val="Akapitzlist"/>
              <w:ind w:left="0"/>
              <w:rPr>
                <w:sz w:val="16"/>
                <w:szCs w:val="16"/>
              </w:rPr>
            </w:pPr>
            <w:r>
              <w:rPr>
                <w:sz w:val="16"/>
                <w:szCs w:val="16"/>
              </w:rPr>
              <w:t>397 689,65 (1)</w:t>
            </w:r>
          </w:p>
        </w:tc>
        <w:tc>
          <w:tcPr>
            <w:tcW w:w="680" w:type="pct"/>
          </w:tcPr>
          <w:p w:rsidR="005E16D5" w:rsidRPr="002426F8" w:rsidRDefault="005E16D5" w:rsidP="006737FC">
            <w:pPr>
              <w:pStyle w:val="Akapitzlist"/>
              <w:ind w:left="0"/>
              <w:rPr>
                <w:sz w:val="16"/>
                <w:szCs w:val="16"/>
              </w:rPr>
            </w:pPr>
          </w:p>
        </w:tc>
        <w:tc>
          <w:tcPr>
            <w:tcW w:w="684" w:type="pct"/>
          </w:tcPr>
          <w:p w:rsidR="005E16D5" w:rsidRPr="002426F8" w:rsidRDefault="005E16D5" w:rsidP="006737FC">
            <w:pPr>
              <w:pStyle w:val="Akapitzlist"/>
              <w:ind w:left="0"/>
              <w:rPr>
                <w:sz w:val="16"/>
                <w:szCs w:val="16"/>
              </w:rPr>
            </w:pPr>
          </w:p>
        </w:tc>
        <w:tc>
          <w:tcPr>
            <w:tcW w:w="750" w:type="pct"/>
          </w:tcPr>
          <w:p w:rsidR="005E16D5" w:rsidRPr="002426F8" w:rsidRDefault="005E16D5" w:rsidP="006737FC">
            <w:pPr>
              <w:pStyle w:val="Akapitzlist"/>
              <w:ind w:left="0"/>
              <w:jc w:val="left"/>
              <w:rPr>
                <w:b/>
                <w:sz w:val="16"/>
                <w:szCs w:val="16"/>
              </w:rPr>
            </w:pPr>
            <w:r>
              <w:rPr>
                <w:b/>
                <w:sz w:val="16"/>
                <w:szCs w:val="16"/>
              </w:rPr>
              <w:t>Oś priorytetowa: 6. Środowisko przyrodnicze</w:t>
            </w:r>
          </w:p>
        </w:tc>
        <w:tc>
          <w:tcPr>
            <w:tcW w:w="681" w:type="pct"/>
          </w:tcPr>
          <w:p w:rsidR="005E16D5" w:rsidRPr="002426F8" w:rsidRDefault="005E16D5" w:rsidP="006737FC">
            <w:pPr>
              <w:pStyle w:val="Akapitzlist"/>
              <w:ind w:left="2353" w:right="-993" w:hanging="2353"/>
              <w:jc w:val="left"/>
              <w:rPr>
                <w:sz w:val="16"/>
                <w:szCs w:val="16"/>
              </w:rPr>
            </w:pPr>
            <w:r>
              <w:rPr>
                <w:sz w:val="16"/>
                <w:szCs w:val="16"/>
              </w:rPr>
              <w:t>346 500,00 (1)</w:t>
            </w:r>
          </w:p>
        </w:tc>
        <w:tc>
          <w:tcPr>
            <w:tcW w:w="696" w:type="pct"/>
          </w:tcPr>
          <w:p w:rsidR="005E16D5" w:rsidRDefault="005E16D5" w:rsidP="006737FC">
            <w:pPr>
              <w:pStyle w:val="Akapitzlist"/>
              <w:ind w:left="2353" w:right="-993" w:hanging="2353"/>
              <w:rPr>
                <w:sz w:val="16"/>
                <w:szCs w:val="16"/>
              </w:rPr>
            </w:pPr>
          </w:p>
        </w:tc>
      </w:tr>
      <w:tr w:rsidR="005E16D5" w:rsidTr="006737FC">
        <w:trPr>
          <w:jc w:val="center"/>
        </w:trPr>
        <w:tc>
          <w:tcPr>
            <w:tcW w:w="2873" w:type="pct"/>
            <w:gridSpan w:val="4"/>
          </w:tcPr>
          <w:p w:rsidR="005E16D5" w:rsidRPr="002426F8" w:rsidRDefault="005E16D5" w:rsidP="006737FC">
            <w:pPr>
              <w:pStyle w:val="Akapitzlist"/>
              <w:ind w:left="0"/>
              <w:rPr>
                <w:sz w:val="16"/>
                <w:szCs w:val="16"/>
              </w:rPr>
            </w:pPr>
          </w:p>
        </w:tc>
        <w:tc>
          <w:tcPr>
            <w:tcW w:w="750" w:type="pct"/>
          </w:tcPr>
          <w:p w:rsidR="005E16D5" w:rsidRPr="002426F8" w:rsidRDefault="005E16D5" w:rsidP="006737FC">
            <w:pPr>
              <w:pStyle w:val="Akapitzlist"/>
              <w:ind w:left="0"/>
              <w:jc w:val="left"/>
              <w:rPr>
                <w:b/>
                <w:sz w:val="16"/>
                <w:szCs w:val="16"/>
              </w:rPr>
            </w:pPr>
            <w:r w:rsidRPr="002426F8">
              <w:rPr>
                <w:b/>
                <w:sz w:val="16"/>
                <w:szCs w:val="16"/>
              </w:rPr>
              <w:t>Oś priorytetowa: 7. Infrastruktura społeczeństwa informacyjnego</w:t>
            </w:r>
          </w:p>
        </w:tc>
        <w:tc>
          <w:tcPr>
            <w:tcW w:w="681" w:type="pct"/>
          </w:tcPr>
          <w:p w:rsidR="005E16D5" w:rsidRPr="002426F8" w:rsidRDefault="005E16D5" w:rsidP="006737FC">
            <w:pPr>
              <w:pStyle w:val="Akapitzlist"/>
              <w:ind w:left="2353" w:right="-993" w:hanging="2353"/>
              <w:jc w:val="left"/>
              <w:rPr>
                <w:sz w:val="16"/>
                <w:szCs w:val="16"/>
              </w:rPr>
            </w:pPr>
            <w:r>
              <w:rPr>
                <w:sz w:val="16"/>
                <w:szCs w:val="16"/>
              </w:rPr>
              <w:t>33 856 598,48 (57)</w:t>
            </w:r>
          </w:p>
        </w:tc>
        <w:tc>
          <w:tcPr>
            <w:tcW w:w="696" w:type="pct"/>
          </w:tcPr>
          <w:p w:rsidR="005E16D5" w:rsidRPr="002426F8" w:rsidRDefault="005E16D5" w:rsidP="006737FC">
            <w:pPr>
              <w:pStyle w:val="Akapitzlist"/>
              <w:ind w:left="2353" w:right="-993" w:hanging="2353"/>
              <w:jc w:val="left"/>
              <w:rPr>
                <w:sz w:val="16"/>
                <w:szCs w:val="16"/>
              </w:rPr>
            </w:pPr>
            <w:r w:rsidRPr="002426F8">
              <w:rPr>
                <w:sz w:val="16"/>
                <w:szCs w:val="16"/>
              </w:rPr>
              <w:t xml:space="preserve">2 606 325,02 </w:t>
            </w:r>
            <w:r>
              <w:rPr>
                <w:sz w:val="16"/>
                <w:szCs w:val="16"/>
              </w:rPr>
              <w:t>(</w:t>
            </w:r>
            <w:r w:rsidRPr="002426F8">
              <w:rPr>
                <w:sz w:val="16"/>
                <w:szCs w:val="16"/>
              </w:rPr>
              <w:t>7</w:t>
            </w:r>
            <w:r>
              <w:rPr>
                <w:sz w:val="16"/>
                <w:szCs w:val="16"/>
              </w:rPr>
              <w:t>)</w:t>
            </w:r>
            <w:r w:rsidRPr="002426F8">
              <w:rPr>
                <w:sz w:val="16"/>
                <w:szCs w:val="16"/>
              </w:rPr>
              <w:t xml:space="preserve"> </w:t>
            </w:r>
          </w:p>
          <w:p w:rsidR="005E16D5" w:rsidRDefault="005E16D5" w:rsidP="006737FC">
            <w:pPr>
              <w:pStyle w:val="Akapitzlist"/>
              <w:ind w:left="2353" w:right="-993" w:hanging="2353"/>
              <w:rPr>
                <w:sz w:val="16"/>
                <w:szCs w:val="16"/>
              </w:rPr>
            </w:pPr>
          </w:p>
        </w:tc>
      </w:tr>
      <w:tr w:rsidR="005E16D5" w:rsidRPr="00F70C75" w:rsidTr="006737FC">
        <w:trPr>
          <w:jc w:val="center"/>
        </w:trPr>
        <w:tc>
          <w:tcPr>
            <w:tcW w:w="765" w:type="pct"/>
          </w:tcPr>
          <w:p w:rsidR="005E16D5" w:rsidRPr="00FC6366" w:rsidRDefault="005E16D5" w:rsidP="006737FC">
            <w:pPr>
              <w:pStyle w:val="Akapitzlist"/>
              <w:ind w:left="0"/>
              <w:rPr>
                <w:b/>
                <w:sz w:val="18"/>
                <w:szCs w:val="18"/>
              </w:rPr>
            </w:pPr>
            <w:r w:rsidRPr="00FC6366">
              <w:rPr>
                <w:b/>
                <w:sz w:val="18"/>
                <w:szCs w:val="18"/>
              </w:rPr>
              <w:t>Ogółem PLN</w:t>
            </w:r>
          </w:p>
        </w:tc>
        <w:tc>
          <w:tcPr>
            <w:tcW w:w="745" w:type="pct"/>
          </w:tcPr>
          <w:p w:rsidR="005E16D5" w:rsidRPr="00FC6366" w:rsidRDefault="005E16D5" w:rsidP="006737FC">
            <w:pPr>
              <w:pStyle w:val="Akapitzlist"/>
              <w:ind w:left="0"/>
              <w:rPr>
                <w:b/>
                <w:sz w:val="18"/>
                <w:szCs w:val="18"/>
              </w:rPr>
            </w:pPr>
            <w:r w:rsidRPr="00FC6366">
              <w:rPr>
                <w:b/>
                <w:sz w:val="18"/>
                <w:szCs w:val="18"/>
              </w:rPr>
              <w:t>198 221 185,14 (316)</w:t>
            </w:r>
          </w:p>
        </w:tc>
        <w:tc>
          <w:tcPr>
            <w:tcW w:w="680" w:type="pct"/>
          </w:tcPr>
          <w:p w:rsidR="005E16D5" w:rsidRPr="00FC6366" w:rsidRDefault="005E16D5" w:rsidP="006737FC">
            <w:pPr>
              <w:pStyle w:val="Akapitzlist"/>
              <w:ind w:left="0"/>
              <w:rPr>
                <w:b/>
                <w:sz w:val="18"/>
                <w:szCs w:val="18"/>
              </w:rPr>
            </w:pPr>
            <w:r w:rsidRPr="00FC6366">
              <w:rPr>
                <w:b/>
                <w:sz w:val="18"/>
                <w:szCs w:val="18"/>
              </w:rPr>
              <w:t>58 641 267,85 (47)</w:t>
            </w:r>
          </w:p>
        </w:tc>
        <w:tc>
          <w:tcPr>
            <w:tcW w:w="684" w:type="pct"/>
          </w:tcPr>
          <w:p w:rsidR="005E16D5" w:rsidRPr="00FC6366" w:rsidRDefault="005E16D5" w:rsidP="006737FC">
            <w:pPr>
              <w:pStyle w:val="Akapitzlist"/>
              <w:ind w:left="0"/>
              <w:rPr>
                <w:b/>
                <w:sz w:val="18"/>
                <w:szCs w:val="18"/>
              </w:rPr>
            </w:pPr>
            <w:r w:rsidRPr="00FC6366">
              <w:rPr>
                <w:b/>
                <w:sz w:val="18"/>
                <w:szCs w:val="18"/>
              </w:rPr>
              <w:t>27 119 794,26 (38)</w:t>
            </w:r>
          </w:p>
        </w:tc>
        <w:tc>
          <w:tcPr>
            <w:tcW w:w="750" w:type="pct"/>
          </w:tcPr>
          <w:p w:rsidR="005E16D5" w:rsidRPr="00FC6366" w:rsidRDefault="005E16D5" w:rsidP="006737FC">
            <w:pPr>
              <w:pStyle w:val="Akapitzlist"/>
              <w:ind w:left="0"/>
              <w:rPr>
                <w:b/>
                <w:sz w:val="18"/>
                <w:szCs w:val="18"/>
              </w:rPr>
            </w:pPr>
            <w:r w:rsidRPr="00FC6366">
              <w:rPr>
                <w:b/>
                <w:sz w:val="18"/>
                <w:szCs w:val="18"/>
              </w:rPr>
              <w:t>Ogółem PLN</w:t>
            </w:r>
          </w:p>
        </w:tc>
        <w:tc>
          <w:tcPr>
            <w:tcW w:w="681" w:type="pct"/>
          </w:tcPr>
          <w:p w:rsidR="005E16D5" w:rsidRPr="00FC6366" w:rsidRDefault="005E16D5" w:rsidP="006737FC">
            <w:pPr>
              <w:pStyle w:val="Akapitzlist"/>
              <w:ind w:left="0"/>
              <w:rPr>
                <w:b/>
                <w:sz w:val="18"/>
                <w:szCs w:val="18"/>
              </w:rPr>
            </w:pPr>
            <w:r w:rsidRPr="00FC6366">
              <w:rPr>
                <w:b/>
                <w:sz w:val="18"/>
                <w:szCs w:val="18"/>
              </w:rPr>
              <w:t>144 878 854,99 (255)</w:t>
            </w:r>
          </w:p>
        </w:tc>
        <w:tc>
          <w:tcPr>
            <w:tcW w:w="696" w:type="pct"/>
          </w:tcPr>
          <w:p w:rsidR="005E16D5" w:rsidRPr="00FC6366" w:rsidRDefault="005E16D5" w:rsidP="006737FC">
            <w:pPr>
              <w:pStyle w:val="Akapitzlist"/>
              <w:ind w:left="0"/>
              <w:rPr>
                <w:b/>
                <w:sz w:val="18"/>
                <w:szCs w:val="18"/>
              </w:rPr>
            </w:pPr>
            <w:r w:rsidRPr="00FC6366">
              <w:rPr>
                <w:b/>
                <w:sz w:val="18"/>
                <w:szCs w:val="18"/>
              </w:rPr>
              <w:t>21 318 812,40 (33)</w:t>
            </w:r>
          </w:p>
        </w:tc>
      </w:tr>
    </w:tbl>
    <w:p w:rsidR="005E16D5" w:rsidRDefault="005E16D5" w:rsidP="005E16D5">
      <w:pPr>
        <w:spacing w:after="0" w:line="240" w:lineRule="auto"/>
        <w:ind w:right="283"/>
        <w:jc w:val="both"/>
        <w:rPr>
          <w:color w:val="FF0000"/>
        </w:rPr>
      </w:pPr>
    </w:p>
    <w:p w:rsidR="005E16D5" w:rsidRDefault="005E16D5" w:rsidP="006E5CA6">
      <w:pPr>
        <w:spacing w:after="0" w:line="240" w:lineRule="auto"/>
        <w:jc w:val="both"/>
      </w:pPr>
      <w:bookmarkStart w:id="13" w:name="_Toc381097067"/>
      <w:r>
        <w:t>Źródło: Opracowanie własne na podstawie danych ze stron internetowych: Regionalnego Programu Operacyjnego Województwa Podlaskiego na lata 2007-2013 (</w:t>
      </w:r>
      <w:hyperlink r:id="rId15" w:history="1">
        <w:r w:rsidRPr="00ED0091">
          <w:rPr>
            <w:rStyle w:val="Hipercze"/>
          </w:rPr>
          <w:t>www.podlaskiedotacje.pl</w:t>
        </w:r>
      </w:hyperlink>
      <w:r w:rsidR="006E5CA6">
        <w:t xml:space="preserve">) i </w:t>
      </w:r>
      <w:r>
        <w:t>Regionalnego Programu Operacyjnego Wa</w:t>
      </w:r>
      <w:r w:rsidR="006E5CA6">
        <w:t xml:space="preserve">rmia i Mazury na lata 2007-2013 </w:t>
      </w:r>
      <w:r>
        <w:t>(</w:t>
      </w:r>
      <w:hyperlink r:id="rId16" w:history="1">
        <w:r w:rsidRPr="00ED0091">
          <w:rPr>
            <w:rStyle w:val="Hipercze"/>
          </w:rPr>
          <w:t>http://rpo.warmia.mazury.pl</w:t>
        </w:r>
      </w:hyperlink>
      <w:r>
        <w:t>)</w:t>
      </w:r>
      <w:r w:rsidR="009C2D34">
        <w:t>.</w:t>
      </w:r>
      <w:r w:rsidR="006C4B9D">
        <w:t xml:space="preserve"> Stan na dzień 31.12.2013 r.</w:t>
      </w:r>
    </w:p>
    <w:p w:rsidR="005E16D5" w:rsidRPr="00FA1BAA" w:rsidRDefault="005E16D5" w:rsidP="005E16D5">
      <w:pPr>
        <w:pStyle w:val="Nagwek2"/>
      </w:pPr>
      <w:bookmarkStart w:id="14" w:name="_Toc390759473"/>
      <w:r>
        <w:t>2.5. Rynek pracy</w:t>
      </w:r>
      <w:bookmarkEnd w:id="13"/>
      <w:bookmarkEnd w:id="14"/>
    </w:p>
    <w:p w:rsidR="005E16D5" w:rsidRDefault="005E16D5" w:rsidP="005E16D5">
      <w:pPr>
        <w:pStyle w:val="Nagwek3"/>
      </w:pPr>
      <w:bookmarkStart w:id="15" w:name="_Toc381097068"/>
      <w:bookmarkStart w:id="16" w:name="_Toc390759474"/>
      <w:r>
        <w:t>2.5.1. Zatrudnienie</w:t>
      </w:r>
      <w:bookmarkEnd w:id="15"/>
      <w:bookmarkEnd w:id="16"/>
    </w:p>
    <w:p w:rsidR="00396F5A" w:rsidRDefault="005E16D5" w:rsidP="005E16D5">
      <w:pPr>
        <w:spacing w:after="0" w:line="240" w:lineRule="auto"/>
        <w:jc w:val="both"/>
      </w:pPr>
      <w:r w:rsidRPr="00CC3355">
        <w:t>Na koniec 2012 r.</w:t>
      </w:r>
      <w:r>
        <w:rPr>
          <w:rStyle w:val="Odwoanieprzypisudolnego"/>
        </w:rPr>
        <w:footnoteReference w:id="7"/>
      </w:r>
      <w:r w:rsidRPr="00CC3355">
        <w:t xml:space="preserve"> na terenie miasta Suwałki, w podmiotach gospodarczych zatrudniających powyżej 9 osób, pracowało 14 125 osób, w tym 6 338 osób w sektorze publicznym oraz 7 787 osób </w:t>
      </w:r>
      <w:r w:rsidRPr="00CC3355">
        <w:br/>
        <w:t>w sektorze prywatnym (statystyki prowadzone przez Główny Urząd Statystyczny nie obejmują zatrudnienia w podmiotach zatrudniających poniżej 9 osób</w:t>
      </w:r>
      <w:r>
        <w:t xml:space="preserve">, a takich właśnie podmiotów jest w Suwałkach ponad 96%, </w:t>
      </w:r>
      <w:r w:rsidR="006C4B9D">
        <w:t>(</w:t>
      </w:r>
      <w:r>
        <w:t>Wykres nr 5</w:t>
      </w:r>
      <w:r w:rsidRPr="00CC3355">
        <w:t xml:space="preserve">). </w:t>
      </w:r>
    </w:p>
    <w:p w:rsidR="00396F5A" w:rsidRDefault="00396F5A" w:rsidP="005E16D5">
      <w:pPr>
        <w:spacing w:after="0" w:line="240" w:lineRule="auto"/>
        <w:jc w:val="both"/>
      </w:pPr>
    </w:p>
    <w:p w:rsidR="00396F5A" w:rsidRDefault="005E16D5" w:rsidP="005E16D5">
      <w:pPr>
        <w:spacing w:after="0" w:line="240" w:lineRule="auto"/>
        <w:jc w:val="both"/>
      </w:pPr>
      <w:r w:rsidRPr="00CC3355">
        <w:t xml:space="preserve">Najwięcej osób zatrudnionych było w przemyśle (3 401 osób), edukacji (2 080 osób), opiece zdrowotnej i pomocy społecznej (1 768 osób), handlu hurtowym i detalicznym oraz naprawach pojazdów (1 767 osób), a także administracji publicznej (1 341 osób). </w:t>
      </w:r>
    </w:p>
    <w:p w:rsidR="00396F5A" w:rsidRDefault="00396F5A" w:rsidP="005E16D5">
      <w:pPr>
        <w:spacing w:after="0" w:line="240" w:lineRule="auto"/>
        <w:jc w:val="both"/>
      </w:pPr>
    </w:p>
    <w:p w:rsidR="00396F5A" w:rsidRDefault="005E16D5" w:rsidP="005E16D5">
      <w:pPr>
        <w:spacing w:after="0" w:line="240" w:lineRule="auto"/>
        <w:jc w:val="both"/>
      </w:pPr>
      <w:r w:rsidRPr="00CC3355">
        <w:t xml:space="preserve">Przeciętne miesięczne wynagrodzenie brutto na terenie Suwałk w roku 2012 wynosiło 3 029,62 zł i było o 79,02 zł (2,6%) wyższe niż w roku 2011 (2 950,60 zł), przy czym w sektorze publicznym wynosiło 3 655,49 zł, a w sektorze prywatnym 2 520,21 zł. Najwięcej zarabiali zatrudnieni w sektorze finansowym i ubezpieczeniowym (4 496,44 zł miesięcznie), w administracji publicznej i obronie narodowej (4 265,85 zł miesięcznie) oraz w sektorze związanym z dostawą wody, gospodarowaniem ściekami i odpadami oraz działalnością związaną z rekultywacją  (4 047,64 zł miesięcznie). </w:t>
      </w:r>
    </w:p>
    <w:p w:rsidR="00396F5A" w:rsidRDefault="00396F5A" w:rsidP="005E16D5">
      <w:pPr>
        <w:spacing w:after="0" w:line="240" w:lineRule="auto"/>
        <w:jc w:val="both"/>
      </w:pPr>
    </w:p>
    <w:p w:rsidR="005E16D5" w:rsidRDefault="005E16D5" w:rsidP="005E16D5">
      <w:pPr>
        <w:spacing w:after="0" w:line="240" w:lineRule="auto"/>
        <w:jc w:val="both"/>
        <w:rPr>
          <w:color w:val="00B050"/>
        </w:rPr>
      </w:pPr>
      <w:r w:rsidRPr="00CC3355">
        <w:t xml:space="preserve">W 2012 r. przeciętne miesięczne wynagrodzenie brutto na terenie Suwałk stanowiło 81% przeciętnego </w:t>
      </w:r>
      <w:r w:rsidRPr="00D110C1">
        <w:t>miesięcznego wynagrodzenia w kraju i 91,5% przeciętnego miesięcznego wynagrodzenia w województwie podlaskim. Porównując Suwałki z miastami referencyjnymi, niższe przeciętne wynagrodzenie zanotowano tylko w Łomży (2 972,85 zł) i w powiecie ełckim (2 960,87 zł). W pozostałych miastach referencyjnych przeciętne miesięczne wynagrodzenie jest wyższe niż w Suwałkach, w Ostrołęce aż o 746,49 zł brutto</w:t>
      </w:r>
      <w:r w:rsidR="00EE5BB1">
        <w:rPr>
          <w:rStyle w:val="Odwoanieprzypisudolnego"/>
        </w:rPr>
        <w:footnoteReference w:id="8"/>
      </w:r>
      <w:r w:rsidRPr="00D110C1">
        <w:t xml:space="preserve">. </w:t>
      </w:r>
    </w:p>
    <w:p w:rsidR="0038239E" w:rsidRDefault="0038239E" w:rsidP="005E16D5">
      <w:pPr>
        <w:spacing w:after="0" w:line="240" w:lineRule="auto"/>
        <w:jc w:val="both"/>
        <w:rPr>
          <w:b/>
        </w:rPr>
      </w:pPr>
    </w:p>
    <w:p w:rsidR="005E16D5" w:rsidRPr="00974252" w:rsidRDefault="005E16D5" w:rsidP="005E16D5">
      <w:pPr>
        <w:spacing w:after="0" w:line="240" w:lineRule="auto"/>
        <w:jc w:val="both"/>
      </w:pPr>
      <w:r w:rsidRPr="00974252">
        <w:rPr>
          <w:b/>
        </w:rPr>
        <w:t>Wykres nr 6.</w:t>
      </w:r>
      <w:r w:rsidRPr="00974252">
        <w:t xml:space="preserve"> </w:t>
      </w:r>
      <w:r>
        <w:t xml:space="preserve">Przeciętne </w:t>
      </w:r>
      <w:r w:rsidR="007543C6">
        <w:t xml:space="preserve">(dla sektora publicznego i prywatnego) </w:t>
      </w:r>
      <w:r>
        <w:t>miesięczne wynagrodzenie brutto w 2012 roku (w zł) w wybranych miastach</w:t>
      </w:r>
    </w:p>
    <w:p w:rsidR="005E16D5" w:rsidRPr="00E401FB" w:rsidRDefault="005E16D5" w:rsidP="00E401FB">
      <w:pPr>
        <w:jc w:val="both"/>
        <w:rPr>
          <w:b/>
        </w:rPr>
      </w:pPr>
      <w:r>
        <w:rPr>
          <w:noProof/>
          <w:lang w:eastAsia="pl-PL"/>
        </w:rPr>
        <w:drawing>
          <wp:inline distT="0" distB="0" distL="0" distR="0">
            <wp:extent cx="5760720" cy="3052459"/>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17" w:name="_Toc381097069"/>
      <w:r w:rsidRPr="007C4746">
        <w:t>Źródło: Opracowanie własne na podstawie danych Urzędu Statystycznego w Białymstoku</w:t>
      </w:r>
    </w:p>
    <w:p w:rsidR="005E16D5" w:rsidRDefault="005E16D5" w:rsidP="005E16D5">
      <w:pPr>
        <w:pStyle w:val="Nagwek3"/>
      </w:pPr>
      <w:bookmarkStart w:id="18" w:name="_Toc390759475"/>
      <w:r>
        <w:t>2.5.2. Stopa bezrobocia</w:t>
      </w:r>
      <w:bookmarkEnd w:id="17"/>
      <w:bookmarkEnd w:id="18"/>
    </w:p>
    <w:p w:rsidR="005E16D5" w:rsidRDefault="005E16D5" w:rsidP="005E16D5">
      <w:pPr>
        <w:spacing w:after="0" w:line="240" w:lineRule="auto"/>
        <w:jc w:val="both"/>
      </w:pPr>
      <w:r>
        <w:t>Na koniec 2013</w:t>
      </w:r>
      <w:r w:rsidR="00396F5A">
        <w:t xml:space="preserve"> r</w:t>
      </w:r>
      <w:r w:rsidR="00847211">
        <w:t>.</w:t>
      </w:r>
      <w:r w:rsidRPr="009939F2">
        <w:t xml:space="preserve"> stopa bezrobocia w Suwałkach wyniosła 13% i była niższa od stopy bezrobocia w kraju (13,4%) i w województwie podlaskim </w:t>
      </w:r>
      <w:r>
        <w:t>(15,1</w:t>
      </w:r>
      <w:r w:rsidRPr="009939F2">
        <w:t xml:space="preserve">%). Liczba zarejestrowanych bezrobotnych </w:t>
      </w:r>
      <w:r>
        <w:t>zmalała w porównaniu z grudniem 2012</w:t>
      </w:r>
      <w:r w:rsidRPr="009939F2">
        <w:t xml:space="preserve"> r</w:t>
      </w:r>
      <w:r>
        <w:t>oku o 83 oso</w:t>
      </w:r>
      <w:r w:rsidRPr="009939F2">
        <w:t>b</w:t>
      </w:r>
      <w:r>
        <w:t>y</w:t>
      </w:r>
      <w:r w:rsidRPr="009939F2">
        <w:t xml:space="preserve"> i</w:t>
      </w:r>
      <w:r>
        <w:t xml:space="preserve"> na koniec 2013 roku wynosiła 3 644 osoby</w:t>
      </w:r>
      <w:r w:rsidRPr="009939F2">
        <w:t>. W liczbie tej osoby dotychczas nie pracujące stanowiły 1</w:t>
      </w:r>
      <w:r>
        <w:t>2,5</w:t>
      </w:r>
      <w:r w:rsidRPr="009939F2">
        <w:t xml:space="preserve">%, a osoby długotrwale bezrobotne </w:t>
      </w:r>
      <w:r>
        <w:t>– 47</w:t>
      </w:r>
      <w:r w:rsidRPr="009939F2">
        <w:t>%. Spośród osób bezrobotnych zarejestrowanych w Powiatowym Urzędzi</w:t>
      </w:r>
      <w:r>
        <w:t>e Pracy w Suwałkach w końcu 2013 roku, kobiety stanowiły 52,8</w:t>
      </w:r>
      <w:r w:rsidRPr="009939F2">
        <w:t>% ogółu bezrobotnych z terenu miasta Suwałki</w:t>
      </w:r>
      <w:r>
        <w:t xml:space="preserve"> (1 924 osoby</w:t>
      </w:r>
      <w:r w:rsidRPr="009939F2">
        <w:t xml:space="preserve">). </w:t>
      </w:r>
      <w:r>
        <w:t>Około</w:t>
      </w:r>
      <w:r w:rsidRPr="009939F2">
        <w:t xml:space="preserve"> 5</w:t>
      </w:r>
      <w:r>
        <w:t>1% bezrobotnych nie posiadało</w:t>
      </w:r>
      <w:r w:rsidRPr="009939F2">
        <w:t xml:space="preserve"> średniego wykształcenia.</w:t>
      </w:r>
    </w:p>
    <w:p w:rsidR="005E16D5" w:rsidRDefault="005E16D5" w:rsidP="005E16D5">
      <w:pPr>
        <w:spacing w:after="0" w:line="240" w:lineRule="auto"/>
        <w:jc w:val="both"/>
      </w:pPr>
    </w:p>
    <w:p w:rsidR="005F0ED9" w:rsidRDefault="005F0ED9" w:rsidP="005E16D5">
      <w:pPr>
        <w:spacing w:after="0" w:line="240" w:lineRule="auto"/>
        <w:jc w:val="both"/>
      </w:pPr>
    </w:p>
    <w:p w:rsidR="008D20B2" w:rsidRDefault="008D20B2" w:rsidP="005E16D5">
      <w:pPr>
        <w:pStyle w:val="Nagwek2"/>
      </w:pPr>
      <w:bookmarkStart w:id="19" w:name="_Toc381097070"/>
    </w:p>
    <w:p w:rsidR="005E16D5" w:rsidRPr="00FA1BAA" w:rsidRDefault="005E16D5" w:rsidP="005E16D5">
      <w:pPr>
        <w:pStyle w:val="Nagwek2"/>
      </w:pPr>
      <w:bookmarkStart w:id="20" w:name="_Toc390759476"/>
      <w:r>
        <w:t xml:space="preserve">2.6. Instytucje </w:t>
      </w:r>
      <w:proofErr w:type="spellStart"/>
      <w:r>
        <w:t>okołobiznesowe</w:t>
      </w:r>
      <w:bookmarkEnd w:id="19"/>
      <w:bookmarkEnd w:id="20"/>
      <w:proofErr w:type="spellEnd"/>
    </w:p>
    <w:p w:rsidR="005E16D5" w:rsidRPr="00441AB3" w:rsidRDefault="005E16D5" w:rsidP="005E16D5">
      <w:pPr>
        <w:spacing w:after="0"/>
      </w:pPr>
      <w:r>
        <w:t xml:space="preserve">Suwałki dysponują stosunkowo </w:t>
      </w:r>
      <w:r w:rsidR="001B342A">
        <w:t xml:space="preserve">dobrze </w:t>
      </w:r>
      <w:r>
        <w:t>rozwiniętą strukturą instytucji otoczenia biznesu.</w:t>
      </w:r>
    </w:p>
    <w:p w:rsidR="005E16D5" w:rsidRPr="00441AB3" w:rsidRDefault="005E16D5" w:rsidP="005E16D5">
      <w:pPr>
        <w:pStyle w:val="Nagwek3"/>
      </w:pPr>
      <w:bookmarkStart w:id="21" w:name="_Toc381097071"/>
      <w:bookmarkStart w:id="22" w:name="_Toc390759477"/>
      <w:r>
        <w:t xml:space="preserve">2.6.1. </w:t>
      </w:r>
      <w:r w:rsidRPr="00441AB3">
        <w:t>Fundacja Rozwoju Przedsiębiorczości</w:t>
      </w:r>
      <w:bookmarkEnd w:id="21"/>
      <w:bookmarkEnd w:id="22"/>
    </w:p>
    <w:p w:rsidR="005E16D5" w:rsidRPr="00441AB3" w:rsidRDefault="005E16D5" w:rsidP="005E16D5">
      <w:pPr>
        <w:autoSpaceDE w:val="0"/>
        <w:autoSpaceDN w:val="0"/>
        <w:adjustRightInd w:val="0"/>
        <w:spacing w:after="0"/>
        <w:jc w:val="both"/>
        <w:rPr>
          <w:rFonts w:cs="Times New Roman"/>
          <w:b/>
          <w:bCs/>
        </w:rPr>
      </w:pPr>
    </w:p>
    <w:p w:rsidR="005E16D5" w:rsidRPr="00441AB3" w:rsidRDefault="005E16D5" w:rsidP="005E16D5">
      <w:pPr>
        <w:autoSpaceDE w:val="0"/>
        <w:autoSpaceDN w:val="0"/>
        <w:adjustRightInd w:val="0"/>
        <w:spacing w:after="0" w:line="240" w:lineRule="auto"/>
        <w:jc w:val="both"/>
        <w:rPr>
          <w:rFonts w:eastAsia="ArialMT" w:cs="Times New Roman"/>
        </w:rPr>
      </w:pPr>
      <w:r w:rsidRPr="00441AB3">
        <w:rPr>
          <w:rFonts w:cs="Times New Roman"/>
        </w:rPr>
        <w:t xml:space="preserve">Jest prywatną osobą prawną działającą od 1994 roku na zasadach non-profit. </w:t>
      </w:r>
      <w:r w:rsidRPr="00441AB3">
        <w:rPr>
          <w:rFonts w:eastAsia="ArialMT" w:cs="Times New Roman"/>
        </w:rPr>
        <w:t>Działa na rzecz zwiększenia aktywności gospodarczej w regionie poprzez promocję i wspieranie małych przedsiębiorstw i innych przedsięwzięć gospodarczych organizowanych przez bezrobotnych lub dających im zatrudnienie w celu rozwoju gospodarczego regionu i likwidacji w ten sposób bezrobocia. W ramach realizacji celów statutowych Fundacja Rozwoju Przedsiębiorczości przygotowuje i realizuje programy ukierunkowane na wzmocnienie i rozwój przedsiębiorczości, rozwój gospodarczy, a także rozwój społeczności lokalnej i budowę społeczeństwa obywatelskiego. Uczestniczy w inicjatywach mających na celu rozbudowanie potencjału gospodarczego, w wyniku którego mogą powstać nowe miejsca pracy. Cele swoje Fundacja realizuje poprzez podejmowan</w:t>
      </w:r>
      <w:r w:rsidR="00EE5BB1">
        <w:rPr>
          <w:rFonts w:eastAsia="ArialMT" w:cs="Times New Roman"/>
        </w:rPr>
        <w:t>i</w:t>
      </w:r>
      <w:r w:rsidRPr="00441AB3">
        <w:rPr>
          <w:rFonts w:eastAsia="ArialMT" w:cs="Times New Roman"/>
        </w:rPr>
        <w:t>e działań na rzecz wzrostu konkurencyjności mikro, małych i średnich przedsiębiorstw m.in. poprzez następujące działania:</w:t>
      </w:r>
    </w:p>
    <w:p w:rsidR="005E16D5" w:rsidRPr="00441AB3" w:rsidRDefault="005E16D5" w:rsidP="00EF753B">
      <w:pPr>
        <w:pStyle w:val="Akapitzlist"/>
        <w:numPr>
          <w:ilvl w:val="0"/>
          <w:numId w:val="30"/>
        </w:numPr>
        <w:autoSpaceDE w:val="0"/>
        <w:autoSpaceDN w:val="0"/>
        <w:adjustRightInd w:val="0"/>
        <w:spacing w:after="0" w:line="240" w:lineRule="auto"/>
        <w:jc w:val="both"/>
        <w:rPr>
          <w:rFonts w:eastAsia="ArialMT" w:cs="Times New Roman"/>
        </w:rPr>
      </w:pPr>
      <w:r w:rsidRPr="00441AB3">
        <w:rPr>
          <w:rFonts w:eastAsia="ArialMT" w:cs="Times New Roman"/>
        </w:rPr>
        <w:t>wspieranie finansowe istniejących i nowo tworzonych firm,</w:t>
      </w:r>
    </w:p>
    <w:p w:rsidR="005E16D5" w:rsidRPr="00441AB3" w:rsidRDefault="005E16D5" w:rsidP="00EF753B">
      <w:pPr>
        <w:pStyle w:val="Akapitzlist"/>
        <w:numPr>
          <w:ilvl w:val="0"/>
          <w:numId w:val="30"/>
        </w:numPr>
        <w:autoSpaceDE w:val="0"/>
        <w:autoSpaceDN w:val="0"/>
        <w:adjustRightInd w:val="0"/>
        <w:spacing w:after="0" w:line="240" w:lineRule="auto"/>
        <w:jc w:val="both"/>
        <w:rPr>
          <w:rFonts w:eastAsia="ArialMT" w:cs="Times New Roman"/>
        </w:rPr>
      </w:pPr>
      <w:r w:rsidRPr="00441AB3">
        <w:rPr>
          <w:rFonts w:eastAsia="ArialMT" w:cs="Times New Roman"/>
        </w:rPr>
        <w:t xml:space="preserve">doradztwo </w:t>
      </w:r>
      <w:proofErr w:type="spellStart"/>
      <w:r w:rsidRPr="00441AB3">
        <w:rPr>
          <w:rFonts w:eastAsia="ArialMT" w:cs="Times New Roman"/>
        </w:rPr>
        <w:t>konsultacyjno-prawno-ekonomiczne</w:t>
      </w:r>
      <w:proofErr w:type="spellEnd"/>
      <w:r w:rsidRPr="00441AB3">
        <w:rPr>
          <w:rFonts w:eastAsia="ArialMT" w:cs="Times New Roman"/>
        </w:rPr>
        <w:t xml:space="preserve"> i wszelkie inne działania promujące działalność gospodarczą i rozwój regionalny,</w:t>
      </w:r>
      <w:r w:rsidRPr="00441AB3">
        <w:rPr>
          <w:rFonts w:eastAsia="SymbolMT" w:cs="Times New Roman"/>
        </w:rPr>
        <w:t xml:space="preserve"> </w:t>
      </w:r>
    </w:p>
    <w:p w:rsidR="005E16D5" w:rsidRPr="005F0ED9" w:rsidRDefault="005E16D5" w:rsidP="005E16D5">
      <w:pPr>
        <w:pStyle w:val="Akapitzlist"/>
        <w:numPr>
          <w:ilvl w:val="0"/>
          <w:numId w:val="30"/>
        </w:numPr>
        <w:autoSpaceDE w:val="0"/>
        <w:autoSpaceDN w:val="0"/>
        <w:adjustRightInd w:val="0"/>
        <w:spacing w:after="0" w:line="240" w:lineRule="auto"/>
        <w:jc w:val="both"/>
        <w:rPr>
          <w:rFonts w:eastAsia="ArialMT" w:cs="Times New Roman"/>
        </w:rPr>
      </w:pPr>
      <w:r w:rsidRPr="00441AB3">
        <w:rPr>
          <w:rFonts w:eastAsia="ArialMT" w:cs="Times New Roman"/>
        </w:rPr>
        <w:t>promocję przedsiębiorczości w postaci szkoleń, konferencji, misji gospodarczych, wizyt studyjnych, spotkań biznesowych.</w:t>
      </w:r>
    </w:p>
    <w:p w:rsidR="005E16D5" w:rsidRPr="00441AB3" w:rsidRDefault="005E16D5" w:rsidP="005E16D5">
      <w:pPr>
        <w:pStyle w:val="Nagwek3"/>
        <w:rPr>
          <w:rFonts w:eastAsia="Times New Roman"/>
        </w:rPr>
      </w:pPr>
      <w:bookmarkStart w:id="23" w:name="_Toc381097072"/>
      <w:bookmarkStart w:id="24" w:name="_Toc390759478"/>
      <w:r>
        <w:rPr>
          <w:rFonts w:eastAsia="Times New Roman"/>
          <w:shd w:val="clear" w:color="auto" w:fill="FFFFFF"/>
        </w:rPr>
        <w:t xml:space="preserve">2.6.2. </w:t>
      </w:r>
      <w:r w:rsidRPr="00441AB3">
        <w:rPr>
          <w:rFonts w:eastAsia="Times New Roman"/>
          <w:shd w:val="clear" w:color="auto" w:fill="FFFFFF"/>
        </w:rPr>
        <w:t>Agencja  Rozwoju  Regionalnego  "ARES" S. A.  w  Suwałkach</w:t>
      </w:r>
      <w:bookmarkEnd w:id="23"/>
      <w:bookmarkEnd w:id="24"/>
      <w:r w:rsidRPr="00441AB3">
        <w:rPr>
          <w:rFonts w:eastAsia="Times New Roman"/>
        </w:rPr>
        <w:t> </w:t>
      </w:r>
    </w:p>
    <w:p w:rsidR="005E16D5" w:rsidRPr="00441AB3" w:rsidRDefault="005E16D5" w:rsidP="005E16D5">
      <w:pPr>
        <w:spacing w:after="0" w:line="240" w:lineRule="auto"/>
        <w:jc w:val="both"/>
        <w:rPr>
          <w:rFonts w:eastAsia="Times New Roman" w:cs="Times New Roman"/>
        </w:rPr>
      </w:pPr>
    </w:p>
    <w:p w:rsidR="005E16D5" w:rsidRPr="00441AB3" w:rsidRDefault="005E16D5" w:rsidP="005E16D5">
      <w:pPr>
        <w:spacing w:after="0" w:line="240" w:lineRule="auto"/>
        <w:jc w:val="both"/>
        <w:rPr>
          <w:rFonts w:eastAsiaTheme="minorEastAsia" w:cs="Times New Roman"/>
        </w:rPr>
      </w:pPr>
      <w:r w:rsidRPr="00441AB3">
        <w:rPr>
          <w:rFonts w:eastAsia="Times New Roman" w:cs="Times New Roman"/>
        </w:rPr>
        <w:t>Jest najstarszą agencją rozwoju regionalnego w Polsce. Swoją działalność  rozpoczęła  16 stycznia 1991 roku</w:t>
      </w:r>
      <w:r w:rsidRPr="00441AB3">
        <w:rPr>
          <w:rFonts w:cs="Times New Roman"/>
        </w:rPr>
        <w:t xml:space="preserve">. Swoimi działaniami obejmuje województwo podlaskie i </w:t>
      </w:r>
      <w:r w:rsidRPr="00441AB3">
        <w:rPr>
          <w:rFonts w:eastAsia="Times New Roman" w:cs="Times New Roman"/>
          <w:shd w:val="clear" w:color="auto" w:fill="FFFFFF"/>
        </w:rPr>
        <w:t>część  byłego województwa suwalskiego, która obecnie przynależy do województwa warmińsko-mazurskiego.</w:t>
      </w:r>
      <w:r w:rsidRPr="00441AB3">
        <w:rPr>
          <w:rFonts w:eastAsia="Times New Roman" w:cs="Times New Roman"/>
        </w:rPr>
        <w:t xml:space="preserve"> </w:t>
      </w:r>
      <w:r w:rsidRPr="00441AB3">
        <w:rPr>
          <w:rFonts w:eastAsia="Times New Roman" w:cs="Times New Roman"/>
          <w:shd w:val="clear" w:color="auto" w:fill="FFFFFF"/>
        </w:rPr>
        <w:t xml:space="preserve">Misją Agencji jest inspirowanie oraz aktywny udział w przemianach gospodarczych i społecznych regionu poprzez jego promocję, wspieranie </w:t>
      </w:r>
      <w:proofErr w:type="spellStart"/>
      <w:r w:rsidRPr="00441AB3">
        <w:rPr>
          <w:rFonts w:eastAsia="Times New Roman" w:cs="Times New Roman"/>
          <w:shd w:val="clear" w:color="auto" w:fill="FFFFFF"/>
        </w:rPr>
        <w:t>small</w:t>
      </w:r>
      <w:proofErr w:type="spellEnd"/>
      <w:r w:rsidRPr="00441AB3">
        <w:rPr>
          <w:rFonts w:eastAsia="Times New Roman" w:cs="Times New Roman"/>
          <w:shd w:val="clear" w:color="auto" w:fill="FFFFFF"/>
        </w:rPr>
        <w:t xml:space="preserve"> biznesu, realizację programów sprzyjających tworzeniu nowych miejsc pracy oraz organizacja systemu edukacji ekonomicznej i zawodowej.</w:t>
      </w:r>
    </w:p>
    <w:p w:rsidR="005E16D5" w:rsidRPr="00441AB3" w:rsidRDefault="005E16D5" w:rsidP="005E16D5">
      <w:pPr>
        <w:spacing w:after="0" w:line="240" w:lineRule="auto"/>
        <w:jc w:val="both"/>
        <w:rPr>
          <w:rFonts w:eastAsia="Times New Roman" w:cs="Times New Roman"/>
        </w:rPr>
      </w:pPr>
      <w:r w:rsidRPr="00441AB3">
        <w:rPr>
          <w:rFonts w:eastAsia="Times New Roman" w:cs="Times New Roman"/>
          <w:shd w:val="clear" w:color="auto" w:fill="FFFFFF"/>
        </w:rPr>
        <w:t> </w:t>
      </w:r>
    </w:p>
    <w:p w:rsidR="005E16D5" w:rsidRPr="00441AB3" w:rsidRDefault="005E16D5" w:rsidP="005E16D5">
      <w:pPr>
        <w:spacing w:after="0" w:line="240" w:lineRule="auto"/>
        <w:jc w:val="both"/>
        <w:rPr>
          <w:rFonts w:eastAsia="Times New Roman" w:cs="Times New Roman"/>
          <w:shd w:val="clear" w:color="auto" w:fill="FFFFFF"/>
        </w:rPr>
      </w:pPr>
      <w:r w:rsidRPr="00441AB3">
        <w:rPr>
          <w:rFonts w:eastAsia="Times New Roman" w:cs="Times New Roman"/>
          <w:shd w:val="clear" w:color="auto" w:fill="FFFFFF"/>
        </w:rPr>
        <w:t>Agencja wspiera rozwój regionalny w różnych jego obszarach i jest ukierunkowana przede wszystkim na realizację inicjatyw gospodarczych w regionie Podlasia i Suwalszczyzny, a w szczególności:</w:t>
      </w:r>
    </w:p>
    <w:p w:rsidR="005E16D5" w:rsidRPr="005F0ED9" w:rsidRDefault="005E16D5" w:rsidP="005F0ED9">
      <w:pPr>
        <w:spacing w:after="0" w:line="240" w:lineRule="auto"/>
        <w:rPr>
          <w:rStyle w:val="Nagwek3Znak"/>
          <w:rFonts w:asciiTheme="minorHAnsi" w:eastAsia="Times New Roman" w:hAnsiTheme="minorHAnsi" w:cs="Times New Roman"/>
          <w:b w:val="0"/>
          <w:bCs w:val="0"/>
          <w:color w:val="auto"/>
        </w:rPr>
      </w:pPr>
      <w:r w:rsidRPr="00441AB3">
        <w:rPr>
          <w:rFonts w:eastAsia="Times New Roman" w:cs="Times New Roman"/>
          <w:shd w:val="clear" w:color="auto" w:fill="FFFFFF"/>
        </w:rPr>
        <w:t>    - współdziała w opracowaniu programów rozwoju regionu</w:t>
      </w:r>
      <w:r w:rsidR="00187394">
        <w:rPr>
          <w:rFonts w:eastAsia="Times New Roman" w:cs="Times New Roman"/>
          <w:shd w:val="clear" w:color="auto" w:fill="FFFFFF"/>
        </w:rPr>
        <w:t>,</w:t>
      </w:r>
      <w:r w:rsidRPr="00441AB3">
        <w:rPr>
          <w:rFonts w:eastAsia="Times New Roman" w:cs="Times New Roman"/>
        </w:rPr>
        <w:br/>
      </w:r>
      <w:r w:rsidRPr="00441AB3">
        <w:rPr>
          <w:rFonts w:eastAsia="Times New Roman" w:cs="Times New Roman"/>
          <w:shd w:val="clear" w:color="auto" w:fill="FFFFFF"/>
        </w:rPr>
        <w:t>    - aktywnie wspiera biznes</w:t>
      </w:r>
      <w:r w:rsidR="001B342A">
        <w:rPr>
          <w:rFonts w:eastAsia="Times New Roman" w:cs="Times New Roman"/>
          <w:shd w:val="clear" w:color="auto" w:fill="FFFFFF"/>
        </w:rPr>
        <w:t xml:space="preserve"> poprzez funkcjonujące fundusze pożyczkowe i </w:t>
      </w:r>
      <w:proofErr w:type="spellStart"/>
      <w:r w:rsidR="00932558">
        <w:rPr>
          <w:rFonts w:eastAsia="Times New Roman" w:cs="Times New Roman"/>
          <w:shd w:val="clear" w:color="auto" w:fill="FFFFFF"/>
        </w:rPr>
        <w:t>poręczeniowe</w:t>
      </w:r>
      <w:proofErr w:type="spellEnd"/>
      <w:r w:rsidRPr="00441AB3">
        <w:rPr>
          <w:rFonts w:eastAsia="Times New Roman" w:cs="Times New Roman"/>
          <w:shd w:val="clear" w:color="auto" w:fill="FFFFFF"/>
        </w:rPr>
        <w:t xml:space="preserve">, </w:t>
      </w:r>
      <w:r w:rsidRPr="00441AB3">
        <w:rPr>
          <w:rFonts w:eastAsia="Times New Roman" w:cs="Times New Roman"/>
        </w:rPr>
        <w:br/>
      </w:r>
      <w:r w:rsidRPr="00441AB3">
        <w:rPr>
          <w:rFonts w:eastAsia="Times New Roman" w:cs="Times New Roman"/>
          <w:shd w:val="clear" w:color="auto" w:fill="FFFFFF"/>
        </w:rPr>
        <w:t>    - promuje region suwalski,</w:t>
      </w:r>
      <w:r w:rsidRPr="00441AB3">
        <w:rPr>
          <w:rFonts w:eastAsia="Times New Roman" w:cs="Times New Roman"/>
        </w:rPr>
        <w:br/>
      </w:r>
      <w:r w:rsidRPr="00441AB3">
        <w:rPr>
          <w:rFonts w:eastAsia="Times New Roman" w:cs="Times New Roman"/>
          <w:shd w:val="clear" w:color="auto" w:fill="FFFFFF"/>
        </w:rPr>
        <w:t>    - tworzy i realizuje programy aktywnej walki z bezrobociem,</w:t>
      </w:r>
      <w:r w:rsidRPr="00441AB3">
        <w:rPr>
          <w:rFonts w:eastAsia="Times New Roman" w:cs="Times New Roman"/>
        </w:rPr>
        <w:br/>
      </w:r>
      <w:r w:rsidRPr="00441AB3">
        <w:rPr>
          <w:rFonts w:eastAsia="Times New Roman" w:cs="Times New Roman"/>
          <w:shd w:val="clear" w:color="auto" w:fill="FFFFFF"/>
        </w:rPr>
        <w:t>    - tworzy nowe podmioty gospodarcze,</w:t>
      </w:r>
      <w:r w:rsidRPr="00441AB3">
        <w:rPr>
          <w:rFonts w:eastAsia="Times New Roman" w:cs="Times New Roman"/>
        </w:rPr>
        <w:br/>
      </w:r>
      <w:r w:rsidRPr="00441AB3">
        <w:rPr>
          <w:rFonts w:eastAsia="Times New Roman" w:cs="Times New Roman"/>
          <w:shd w:val="clear" w:color="auto" w:fill="FFFFFF"/>
        </w:rPr>
        <w:t>    - organizuje kształcenie zawodowe dorosłych i młodzieży,</w:t>
      </w:r>
      <w:r w:rsidRPr="00441AB3">
        <w:rPr>
          <w:rFonts w:eastAsia="Times New Roman" w:cs="Times New Roman"/>
        </w:rPr>
        <w:br/>
      </w:r>
      <w:r w:rsidRPr="00441AB3">
        <w:rPr>
          <w:rFonts w:eastAsia="Times New Roman" w:cs="Times New Roman"/>
          <w:shd w:val="clear" w:color="auto" w:fill="FFFFFF"/>
        </w:rPr>
        <w:t>    - organizuje systemy gromadzenia i dystrybucji informacji gospodarczej,</w:t>
      </w:r>
      <w:r w:rsidRPr="00441AB3">
        <w:rPr>
          <w:rFonts w:eastAsia="Times New Roman" w:cs="Times New Roman"/>
        </w:rPr>
        <w:br/>
      </w:r>
      <w:r w:rsidRPr="00441AB3">
        <w:rPr>
          <w:rFonts w:eastAsia="Times New Roman" w:cs="Times New Roman"/>
          <w:shd w:val="clear" w:color="auto" w:fill="FFFFFF"/>
        </w:rPr>
        <w:t>    - organizuje inkubatory przedsiębiorczości,</w:t>
      </w:r>
      <w:r w:rsidRPr="00441AB3">
        <w:rPr>
          <w:rFonts w:eastAsia="Times New Roman" w:cs="Times New Roman"/>
        </w:rPr>
        <w:br/>
      </w:r>
      <w:r w:rsidRPr="00441AB3">
        <w:rPr>
          <w:rFonts w:eastAsia="Times New Roman" w:cs="Times New Roman"/>
          <w:shd w:val="clear" w:color="auto" w:fill="FFFFFF"/>
        </w:rPr>
        <w:t>    - przygotowuje i wdraża programy pomocowe.</w:t>
      </w:r>
      <w:r w:rsidRPr="00441AB3">
        <w:rPr>
          <w:rFonts w:eastAsia="Times New Roman" w:cs="Times New Roman"/>
        </w:rPr>
        <w:t> </w:t>
      </w:r>
    </w:p>
    <w:p w:rsidR="005E16D5" w:rsidRPr="00441AB3" w:rsidRDefault="005E16D5" w:rsidP="005E16D5">
      <w:pPr>
        <w:pStyle w:val="Nagwek3"/>
      </w:pPr>
      <w:bookmarkStart w:id="25" w:name="_Toc381097073"/>
      <w:bookmarkStart w:id="26" w:name="_Toc390759479"/>
      <w:r>
        <w:t>2.6.3.</w:t>
      </w:r>
      <w:r w:rsidRPr="00441AB3">
        <w:t>Suwalska Specjalna Strefa Ekonomiczna S. A.</w:t>
      </w:r>
      <w:bookmarkEnd w:id="25"/>
      <w:bookmarkEnd w:id="26"/>
    </w:p>
    <w:p w:rsidR="005E16D5" w:rsidRPr="00441AB3" w:rsidRDefault="005E16D5" w:rsidP="005E16D5">
      <w:pPr>
        <w:spacing w:after="0" w:line="240" w:lineRule="auto"/>
        <w:jc w:val="center"/>
        <w:rPr>
          <w:b/>
        </w:rPr>
      </w:pPr>
    </w:p>
    <w:p w:rsidR="005E16D5" w:rsidRPr="00207D56" w:rsidRDefault="005E16D5" w:rsidP="005E16D5">
      <w:pPr>
        <w:spacing w:after="0" w:line="240" w:lineRule="auto"/>
        <w:jc w:val="both"/>
        <w:rPr>
          <w:rFonts w:cs="Times New Roman"/>
        </w:rPr>
      </w:pPr>
      <w:r w:rsidRPr="00207D56">
        <w:rPr>
          <w:rFonts w:cs="Times New Roman"/>
        </w:rPr>
        <w:t>Suwalska Specjalna Strefa Ekonomiczna jest jedną z najdłużej istniejących stref ekonomicznych w kraju. Składa się z siedmiu wydzielonych obszarów na terenie Suwałk, Ełku, Gołdapi, Grajewa, Małkini Górnej, Białegostoku oraz Łomży o łącznej powierzchni 375,6334 ha, na których przedsiębiorcy prowadzą działalność gospodarczą na preferencyjnych warunkach. Strefa oferuje inwestorom tereny przemysłowe wyposażone w pełną infrastrukturę techniczną oraz posiadające miejscowe plany zagospodarowania przestrzennego.</w:t>
      </w:r>
    </w:p>
    <w:p w:rsidR="005E16D5" w:rsidRDefault="005E16D5" w:rsidP="005E16D5">
      <w:pPr>
        <w:spacing w:after="0" w:line="240" w:lineRule="auto"/>
        <w:jc w:val="both"/>
        <w:rPr>
          <w:rFonts w:cs="Times New Roman"/>
        </w:rPr>
      </w:pPr>
    </w:p>
    <w:p w:rsidR="005E16D5" w:rsidRDefault="005E16D5" w:rsidP="000A55AF">
      <w:pPr>
        <w:spacing w:after="0" w:line="240" w:lineRule="auto"/>
        <w:jc w:val="both"/>
        <w:rPr>
          <w:rFonts w:cs="Times New Roman"/>
        </w:rPr>
      </w:pPr>
      <w:r w:rsidRPr="00207D56">
        <w:rPr>
          <w:rFonts w:cs="Times New Roman"/>
        </w:rPr>
        <w:t>W Suwalskiej Specjalnej Strefie Ekonomicznej – Podstrefie Suwałki – inwestor może uzyskać ulgi w podatkach lokalnych oraz korzystać z pomocy publicznej w formie zwolnienia dochodu z podatku dochodowego w kolejnych latach aż do momentu odzyskania 50% wartości nakładów inwestycyjnych poniesionych przez przedsiębiorcę (firmy z sektora Małych i Średnich Przedsiębiorstw uprawnione są do odzyskania odpowiednio nawet 70% i 60% nakładów inwestycyjnych). O atrakcyjności inwestycyjnej Suwalskiej Specjalnej Strefy Ekonomicznej stanowią również: niskie koszty pracy i dostępność wykwalifikowanych pracowników oraz bezpośrednie sąsiedztwo wschodniej granicy Unii Europejskiej (bliskość Rosji i Białorusi).</w:t>
      </w:r>
    </w:p>
    <w:p w:rsidR="000A55AF" w:rsidRDefault="000A55AF" w:rsidP="000A55AF">
      <w:pPr>
        <w:spacing w:after="0" w:line="240" w:lineRule="auto"/>
        <w:jc w:val="both"/>
        <w:rPr>
          <w:rFonts w:cs="Times New Roman"/>
        </w:rPr>
      </w:pPr>
    </w:p>
    <w:p w:rsidR="00A7457A" w:rsidRPr="00EE5BB1" w:rsidRDefault="005E16D5" w:rsidP="00EE5BB1">
      <w:pPr>
        <w:spacing w:line="240" w:lineRule="auto"/>
        <w:jc w:val="both"/>
        <w:rPr>
          <w:rStyle w:val="Nagwek3Znak"/>
          <w:rFonts w:asciiTheme="minorHAnsi" w:eastAsiaTheme="minorHAnsi" w:hAnsiTheme="minorHAnsi" w:cs="Times New Roman"/>
          <w:b w:val="0"/>
          <w:bCs w:val="0"/>
          <w:color w:val="auto"/>
        </w:rPr>
      </w:pPr>
      <w:r w:rsidRPr="00207D56">
        <w:rPr>
          <w:rFonts w:cs="Times New Roman"/>
        </w:rPr>
        <w:t xml:space="preserve">Podstrefa Suwałki zlokalizowana jest pomiędzy drogą krajową nr 8 (Via </w:t>
      </w:r>
      <w:proofErr w:type="spellStart"/>
      <w:r w:rsidRPr="00207D56">
        <w:rPr>
          <w:rFonts w:cs="Times New Roman"/>
        </w:rPr>
        <w:t>Baltica</w:t>
      </w:r>
      <w:proofErr w:type="spellEnd"/>
      <w:r w:rsidRPr="00207D56">
        <w:rPr>
          <w:rFonts w:cs="Times New Roman"/>
        </w:rPr>
        <w:t>) a drogą</w:t>
      </w:r>
      <w:r w:rsidR="00EE5BB1">
        <w:rPr>
          <w:rFonts w:cs="Times New Roman"/>
        </w:rPr>
        <w:t xml:space="preserve"> wojewódzką</w:t>
      </w:r>
      <w:r w:rsidRPr="00207D56">
        <w:rPr>
          <w:rFonts w:cs="Times New Roman"/>
        </w:rPr>
        <w:t xml:space="preserve"> nr 655, w bezpośrednim sąsiedztwie linii kolejowej i lotniska V klasy, w pob</w:t>
      </w:r>
      <w:r w:rsidR="00EE5BB1">
        <w:rPr>
          <w:rFonts w:cs="Times New Roman"/>
        </w:rPr>
        <w:t>liżu planowanej drogi ekspresowej S61</w:t>
      </w:r>
      <w:r w:rsidRPr="00207D56">
        <w:rPr>
          <w:rFonts w:cs="Times New Roman"/>
        </w:rPr>
        <w:t xml:space="preserve"> i zajmuje obszar 118,4384 ha. W podstrefie Suwałki działa 27 firm, które zatrudniają ok. 2500 osób.  Łączna wartość nakładów inwestycyjnych w Podstrefie Suwałki na koniec 2013 r. wyniosła ponad 476 mln zł. Podstrefa Suwałki oferuje jeszcze ponad 27 ha wolnych terenów inwestycyjnych</w:t>
      </w:r>
      <w:r w:rsidR="00EE5BB1">
        <w:rPr>
          <w:rStyle w:val="Odwoanieprzypisudolnego"/>
          <w:rFonts w:cs="Times New Roman"/>
        </w:rPr>
        <w:footnoteReference w:id="9"/>
      </w:r>
      <w:r w:rsidRPr="00207D56">
        <w:rPr>
          <w:rFonts w:cs="Times New Roman"/>
        </w:rPr>
        <w:t xml:space="preserve">.  </w:t>
      </w:r>
      <w:bookmarkStart w:id="27" w:name="_Toc381097074"/>
    </w:p>
    <w:p w:rsidR="005E16D5" w:rsidRDefault="005E16D5" w:rsidP="005E16D5">
      <w:pPr>
        <w:spacing w:after="0"/>
        <w:jc w:val="both"/>
        <w:rPr>
          <w:rFonts w:cs="Times New Roman"/>
          <w:color w:val="FF0000"/>
        </w:rPr>
      </w:pPr>
      <w:bookmarkStart w:id="28" w:name="_Toc390759480"/>
      <w:r>
        <w:rPr>
          <w:rStyle w:val="Nagwek3Znak"/>
        </w:rPr>
        <w:t xml:space="preserve">2.6.4. </w:t>
      </w:r>
      <w:r w:rsidRPr="00FA1BAA">
        <w:rPr>
          <w:rStyle w:val="Nagwek3Znak"/>
        </w:rPr>
        <w:t>Park Naukowo - Technologiczny Polska - Wschód w Suwałkach Sp. z o. o.</w:t>
      </w:r>
      <w:bookmarkEnd w:id="27"/>
      <w:bookmarkEnd w:id="28"/>
      <w:r w:rsidRPr="00DC6438">
        <w:rPr>
          <w:rFonts w:cs="Times New Roman"/>
          <w:color w:val="FF0000"/>
        </w:rPr>
        <w:t xml:space="preserve"> </w:t>
      </w:r>
    </w:p>
    <w:p w:rsidR="005E16D5" w:rsidRPr="00441AB3" w:rsidRDefault="005E16D5" w:rsidP="005E16D5">
      <w:pPr>
        <w:spacing w:after="0" w:line="240" w:lineRule="auto"/>
        <w:jc w:val="both"/>
        <w:rPr>
          <w:rFonts w:cs="Times New Roman"/>
        </w:rPr>
      </w:pPr>
      <w:r>
        <w:rPr>
          <w:rFonts w:cs="Times New Roman"/>
        </w:rPr>
        <w:t>P</w:t>
      </w:r>
      <w:r w:rsidRPr="00441AB3">
        <w:rPr>
          <w:rFonts w:cs="Times New Roman"/>
        </w:rPr>
        <w:t xml:space="preserve">owstał 4 czerwca 2004 roku. Celem strategicznym Parku jest stworzenie w Suwałkach atrakcyjnego miejsca wzajemnych powiązań pomiędzy nauką a biznesem, umożliwiającego transfer technologii i prowadzenie innowacyjnych form działalności gospodarczej i inwestowania. Udziałowcami Spółki są: Miasto Suwałki, Uniwersytet w Białymstoku, </w:t>
      </w:r>
      <w:r w:rsidR="00F10AED">
        <w:rPr>
          <w:rFonts w:cs="Times New Roman"/>
        </w:rPr>
        <w:t xml:space="preserve">Polskie Stowarzyszenie Doradcze i Konsultingowe </w:t>
      </w:r>
      <w:r w:rsidR="00F10AED">
        <w:rPr>
          <w:rFonts w:cs="Times New Roman"/>
        </w:rPr>
        <w:br/>
        <w:t>w Białymstoku</w:t>
      </w:r>
      <w:r w:rsidRPr="00441AB3">
        <w:rPr>
          <w:rFonts w:cs="Times New Roman"/>
        </w:rPr>
        <w:t>, Politechnika Warszawska, Państwowa Wyższa Szkoła Zawodowa w Suwałkach i Instytut Łączności w Warszawie.</w:t>
      </w:r>
    </w:p>
    <w:p w:rsidR="005E16D5" w:rsidRDefault="005E16D5" w:rsidP="005E16D5">
      <w:pPr>
        <w:spacing w:after="0" w:line="240" w:lineRule="auto"/>
        <w:jc w:val="both"/>
        <w:rPr>
          <w:rFonts w:cs="Times New Roman"/>
        </w:rPr>
      </w:pPr>
    </w:p>
    <w:p w:rsidR="005E16D5" w:rsidRPr="00441AB3" w:rsidRDefault="005E16D5" w:rsidP="005E16D5">
      <w:pPr>
        <w:spacing w:after="0" w:line="240" w:lineRule="auto"/>
        <w:jc w:val="both"/>
        <w:rPr>
          <w:rFonts w:cs="Times New Roman"/>
        </w:rPr>
      </w:pPr>
      <w:r w:rsidRPr="00441AB3">
        <w:rPr>
          <w:rFonts w:cs="Times New Roman"/>
        </w:rPr>
        <w:t>W ramach projektu „Budowa i uruchamianie nowych obiektów Parku Naukowo-Technologicznego Polska-Wschód w Suwałkach”, współfinansowanego ze środków Unii Europejskiej w ramach Programu Operacyjnego Rozwój Polski Wschodniej 2007-2013, w końcu 2012 roku powstał kompleks obiektów Parku, które składają się z: Inkubatora Technologicznego, zespołu laboratoriów: Laboratorium Badania Produktu Chemicznego, Laborato</w:t>
      </w:r>
      <w:r>
        <w:rPr>
          <w:rFonts w:cs="Times New Roman"/>
        </w:rPr>
        <w:t xml:space="preserve">rium Medycznego, Laboratorium </w:t>
      </w:r>
      <w:r w:rsidRPr="00441AB3">
        <w:rPr>
          <w:rFonts w:cs="Times New Roman"/>
        </w:rPr>
        <w:t>Energii Odnawialnej i Laboratorium Multimedialnego, Hali Procesów Logistyczno – Produkcyjnych i Centrum Konferencyjnego. W budynku Inkubatora mieszczą się pomieszczenia recepcyjne kompleksu i pomieszczenia biurowe o zróżnicowanej powierzchni – dogodne dla funkcjonowania małych i większych firm, na różnych etapach rozwoju</w:t>
      </w:r>
      <w:r>
        <w:rPr>
          <w:rFonts w:cs="Times New Roman"/>
        </w:rPr>
        <w:t xml:space="preserve">. </w:t>
      </w:r>
      <w:r w:rsidRPr="00441AB3">
        <w:rPr>
          <w:rFonts w:cs="Times New Roman"/>
        </w:rPr>
        <w:t xml:space="preserve"> </w:t>
      </w:r>
    </w:p>
    <w:p w:rsidR="005E16D5" w:rsidRDefault="005E16D5" w:rsidP="005E16D5">
      <w:pPr>
        <w:spacing w:after="0" w:line="240" w:lineRule="auto"/>
        <w:jc w:val="both"/>
        <w:rPr>
          <w:rFonts w:cs="Times New Roman"/>
        </w:rPr>
      </w:pPr>
    </w:p>
    <w:p w:rsidR="005E16D5" w:rsidRPr="00242049" w:rsidRDefault="005E16D5" w:rsidP="005E16D5">
      <w:pPr>
        <w:spacing w:after="0" w:line="240" w:lineRule="auto"/>
        <w:jc w:val="both"/>
        <w:rPr>
          <w:rFonts w:cs="Times New Roman"/>
        </w:rPr>
      </w:pPr>
      <w:r w:rsidRPr="00242049">
        <w:rPr>
          <w:rFonts w:cs="Times New Roman"/>
        </w:rPr>
        <w:t>Oferta Parku kierowana jest w pierwszej kolejno</w:t>
      </w:r>
      <w:r>
        <w:rPr>
          <w:rFonts w:cs="Times New Roman"/>
        </w:rPr>
        <w:t>ści do podmiotów z branż wysoko</w:t>
      </w:r>
      <w:r w:rsidR="00062E30">
        <w:rPr>
          <w:rFonts w:cs="Times New Roman"/>
        </w:rPr>
        <w:t xml:space="preserve"> </w:t>
      </w:r>
      <w:r w:rsidRPr="00242049">
        <w:rPr>
          <w:rFonts w:cs="Times New Roman"/>
        </w:rPr>
        <w:t xml:space="preserve">zaawansowanych, takich jak: ICT, elektronika, technologia inżynierii materiałowej, technologia ochrony zdrowia i inżynieria medyczna, technologia ochrony środowiska. </w:t>
      </w:r>
      <w:r w:rsidR="00187394">
        <w:rPr>
          <w:rFonts w:cs="Times New Roman"/>
        </w:rPr>
        <w:t>Od 2012 r. skorzystało</w:t>
      </w:r>
      <w:r w:rsidR="004518B1">
        <w:rPr>
          <w:rFonts w:cs="Times New Roman"/>
        </w:rPr>
        <w:t xml:space="preserve"> z niej 31 podmiotów</w:t>
      </w:r>
      <w:r w:rsidRPr="00242049">
        <w:rPr>
          <w:rFonts w:cs="Times New Roman"/>
        </w:rPr>
        <w:t xml:space="preserve">, w większości przedstawiciele technologii informacyjno-komunikacyjnych, ale również firmy świadczące usługi prawne, ubezpieczeniowe, szkoleniowe i inne. </w:t>
      </w:r>
    </w:p>
    <w:p w:rsidR="005E16D5" w:rsidRDefault="005E16D5" w:rsidP="00A55FF5">
      <w:pPr>
        <w:pStyle w:val="Nagwek2"/>
      </w:pPr>
      <w:bookmarkStart w:id="29" w:name="_Toc381097075"/>
      <w:bookmarkStart w:id="30" w:name="_Toc390759481"/>
      <w:r>
        <w:t>2.7. Zagospodarowanie przestrzenne</w:t>
      </w:r>
      <w:bookmarkEnd w:id="29"/>
      <w:bookmarkEnd w:id="30"/>
    </w:p>
    <w:p w:rsidR="005E16D5" w:rsidRPr="00441AB3" w:rsidRDefault="005E16D5" w:rsidP="00A55FF5">
      <w:pPr>
        <w:pStyle w:val="Akapitzlist"/>
        <w:spacing w:after="0" w:line="240" w:lineRule="auto"/>
        <w:jc w:val="both"/>
        <w:rPr>
          <w:color w:val="FF0000"/>
        </w:rPr>
      </w:pPr>
    </w:p>
    <w:p w:rsidR="005E16D5" w:rsidRDefault="005E16D5" w:rsidP="00A55FF5">
      <w:pPr>
        <w:spacing w:after="0" w:line="240" w:lineRule="auto"/>
        <w:jc w:val="both"/>
      </w:pPr>
      <w:r w:rsidRPr="00B0270A">
        <w:t xml:space="preserve">Miejscowe plany zagospodarowania przestrzennego określają </w:t>
      </w:r>
      <w:hyperlink r:id="rId18" w:tooltip="Przeznaczenie" w:history="1">
        <w:r w:rsidRPr="00B0270A">
          <w:t>przeznaczenie</w:t>
        </w:r>
      </w:hyperlink>
      <w:r w:rsidRPr="00B0270A">
        <w:t xml:space="preserve">, warunki zagospodarowania i zabudowy terenu, a także rozmieszczenie </w:t>
      </w:r>
      <w:hyperlink r:id="rId19" w:tooltip="Inwestycja celu publicznego" w:history="1">
        <w:r w:rsidRPr="00B0270A">
          <w:t>inwestycji celu publicznego</w:t>
        </w:r>
      </w:hyperlink>
      <w:r w:rsidRPr="00B0270A">
        <w:t xml:space="preserve">. Stanowią podstawę </w:t>
      </w:r>
      <w:hyperlink r:id="rId20" w:tooltip="Planowanie przestrzenne" w:history="1">
        <w:r w:rsidRPr="00B0270A">
          <w:t>planowania przestrzennego</w:t>
        </w:r>
      </w:hyperlink>
      <w:r w:rsidRPr="00B0270A">
        <w:t xml:space="preserve"> w </w:t>
      </w:r>
      <w:hyperlink r:id="rId21" w:tooltip="Gmina" w:history="1">
        <w:r w:rsidRPr="00B0270A">
          <w:t>gminie</w:t>
        </w:r>
      </w:hyperlink>
      <w:r w:rsidRPr="00B0270A">
        <w:t xml:space="preserve">. Ustanawiają przepisy powszechnie obowiązujące na danym terenie, będące podstawą wydawania </w:t>
      </w:r>
      <w:hyperlink r:id="rId22" w:tooltip="Decyzja administracyjna" w:history="1">
        <w:r w:rsidRPr="00B0270A">
          <w:t>decyzji administracyjnych</w:t>
        </w:r>
      </w:hyperlink>
      <w:r w:rsidRPr="00B0270A">
        <w:t xml:space="preserve"> (w przeciwieństwie do </w:t>
      </w:r>
      <w:hyperlink r:id="rId23" w:tooltip="Studium uwarunkowań i kierunków zagospodarowania przestrzennego" w:history="1">
        <w:r w:rsidRPr="00B0270A">
          <w:t>studium</w:t>
        </w:r>
      </w:hyperlink>
      <w:r w:rsidRPr="00B0270A">
        <w:t xml:space="preserve">, które wyraża jedynie politykę przestrzenną gminy). </w:t>
      </w:r>
    </w:p>
    <w:p w:rsidR="005E16D5" w:rsidRDefault="005E16D5" w:rsidP="005E16D5">
      <w:pPr>
        <w:spacing w:after="0" w:line="240" w:lineRule="auto"/>
        <w:jc w:val="both"/>
      </w:pPr>
    </w:p>
    <w:p w:rsidR="005E16D5" w:rsidRDefault="005E16D5" w:rsidP="005E16D5">
      <w:pPr>
        <w:spacing w:after="0" w:line="240" w:lineRule="auto"/>
        <w:jc w:val="both"/>
      </w:pPr>
      <w:r>
        <w:t>G</w:t>
      </w:r>
      <w:r w:rsidRPr="00EF1A17">
        <w:t>miny posiadające miejscowe plany zagospodarowania przestrzennego są bardziej atrakcyjne dla biznesu. Im bardziej stabilne i przewidywalne warunki lokowania firm, tym większa szansa na przyciągnięcie inwestorów.</w:t>
      </w:r>
      <w:r>
        <w:t xml:space="preserve"> Dlatego tak ważne jest systematyczne uchwalanie miejscowych planów zagospodarowania przestrzennego przez poszczególne gminy. </w:t>
      </w:r>
    </w:p>
    <w:p w:rsidR="005E16D5" w:rsidRDefault="005E16D5" w:rsidP="005E16D5">
      <w:pPr>
        <w:spacing w:after="0" w:line="240" w:lineRule="auto"/>
        <w:jc w:val="both"/>
      </w:pPr>
    </w:p>
    <w:p w:rsidR="00B472C5" w:rsidRDefault="005E16D5" w:rsidP="009A4A33">
      <w:pPr>
        <w:spacing w:after="0" w:line="240" w:lineRule="auto"/>
        <w:jc w:val="both"/>
      </w:pPr>
      <w:r w:rsidRPr="008D20B2">
        <w:t xml:space="preserve">Powierzchnia Suwałk wynosi 6 551 ha, w tym na koniec 2013 roku 2 440 ha było objętych miejscowymi planami zagospodarowania przestrzennego (37% powierzchni miasta). </w:t>
      </w:r>
      <w:r w:rsidR="008D20B2" w:rsidRPr="008D20B2">
        <w:t>Na koniec roku 2013 w</w:t>
      </w:r>
      <w:r w:rsidR="00B472C5" w:rsidRPr="008D20B2">
        <w:t xml:space="preserve"> trakcie opracowania było 13 miejscowych planów zagospodarowania przestrzennego (w tym 5 zmian planów), obejmujących łącznie ok. 985 ha, co stanowi ok. 15,03 %</w:t>
      </w:r>
      <w:r w:rsidR="008D20B2" w:rsidRPr="008D20B2">
        <w:rPr>
          <w:rStyle w:val="Odwoanieprzypisudolnego"/>
        </w:rPr>
        <w:footnoteReference w:id="10"/>
      </w:r>
      <w:r w:rsidR="00B472C5" w:rsidRPr="008D20B2">
        <w:t>. Zauważyć należy jednak, iż tereny pozostające bez miejscowych planów zagospodarowania przestrzennego, o powierzchni 3 127 ha (47,74%), obejmują tereny sklasyfikowane jako lasy (915 ha - 14 %) i wody (58 ha - 1%), na których z mocy przepisów szczególnych nie dopuszcza się zabudowy. Pozostałe tereny to głównie użytki rolne, co do większości których studium uwarunkowań i kierunków zagospodarowania przestrzennego miasta Suwałk nie przewiduje zabudowy.</w:t>
      </w:r>
    </w:p>
    <w:p w:rsidR="00B472C5" w:rsidRDefault="00B472C5" w:rsidP="009A4A33">
      <w:pPr>
        <w:spacing w:after="0" w:line="240" w:lineRule="auto"/>
        <w:jc w:val="both"/>
      </w:pPr>
    </w:p>
    <w:p w:rsidR="009A4A33" w:rsidRPr="009A4A33" w:rsidRDefault="00B472C5" w:rsidP="009A4A33">
      <w:pPr>
        <w:spacing w:after="0" w:line="240" w:lineRule="auto"/>
        <w:jc w:val="both"/>
      </w:pPr>
      <w:r>
        <w:t>Z</w:t>
      </w:r>
      <w:r w:rsidR="009A4A33" w:rsidRPr="009A4A33">
        <w:t xml:space="preserve"> ogólnej powierzchni miasta </w:t>
      </w:r>
      <w:r w:rsidR="001007FC">
        <w:t>jedynie ok. 23% gruntów</w:t>
      </w:r>
      <w:r w:rsidR="009A4A33" w:rsidRPr="009A4A33">
        <w:t xml:space="preserve"> stanowią tereny zurbanizowane</w:t>
      </w:r>
      <w:r>
        <w:t xml:space="preserve"> </w:t>
      </w:r>
      <w:r w:rsidR="001007FC">
        <w:t>i</w:t>
      </w:r>
      <w:r w:rsidR="009A4A33" w:rsidRPr="009A4A33">
        <w:t xml:space="preserve"> jest to ok. 1 500 ha. </w:t>
      </w:r>
      <w:r w:rsidR="009A4A33" w:rsidRPr="003B57D0">
        <w:rPr>
          <w:b/>
        </w:rPr>
        <w:t xml:space="preserve">Obowiązujące miejscowe plany zagospodarowania przestrzennego pokrywają </w:t>
      </w:r>
      <w:r w:rsidRPr="003B57D0">
        <w:rPr>
          <w:b/>
        </w:rPr>
        <w:t xml:space="preserve">zatem </w:t>
      </w:r>
      <w:r w:rsidR="009A4A33" w:rsidRPr="003B57D0">
        <w:rPr>
          <w:b/>
        </w:rPr>
        <w:t>ok.</w:t>
      </w:r>
      <w:r w:rsidR="009A4A33" w:rsidRPr="009A4A33">
        <w:t xml:space="preserve"> </w:t>
      </w:r>
      <w:r w:rsidR="009A4A33" w:rsidRPr="003B57D0">
        <w:rPr>
          <w:b/>
        </w:rPr>
        <w:t>66,75% powierzchni terenów zurbanizowanych w granicach miasta</w:t>
      </w:r>
      <w:r w:rsidR="009A4A33" w:rsidRPr="009A4A33">
        <w:t xml:space="preserve">. </w:t>
      </w:r>
    </w:p>
    <w:p w:rsidR="001007FC" w:rsidRDefault="001007FC" w:rsidP="005E16D5">
      <w:pPr>
        <w:spacing w:after="0" w:line="240" w:lineRule="auto"/>
        <w:jc w:val="both"/>
      </w:pPr>
    </w:p>
    <w:p w:rsidR="005E16D5" w:rsidRDefault="00A5512F" w:rsidP="005E16D5">
      <w:pPr>
        <w:spacing w:after="0" w:line="240" w:lineRule="auto"/>
        <w:jc w:val="both"/>
      </w:pPr>
      <w:r>
        <w:t xml:space="preserve">Na koniec 2013 roku </w:t>
      </w:r>
      <w:r w:rsidR="005E16D5">
        <w:t xml:space="preserve">ilość terenów ujętych w miejscowych planach zagospodarowania przestrzennego przeznaczonych pod zabudowę usługową i produkcyjną wynosiła 974,60 ha, tj. pod zabudowę usługową – 429,8 ha, pod produkcyjną – 272,4 ha (ilość ta stanowi sumę tego rodzaju zabudowy we wszystkich planach uchwalonych w mieście Suwałki). W odniesieniu do wszystkich terenów objętych planami zagospodarowania przestrzennego w mieście Suwałki, tereny pod zabudowę usługową i produkcyjną stanowiły około 40% wszystkich terenów objętych </w:t>
      </w:r>
      <w:proofErr w:type="spellStart"/>
      <w:r w:rsidR="005E16D5">
        <w:t>mpzp</w:t>
      </w:r>
      <w:proofErr w:type="spellEnd"/>
      <w:r w:rsidR="005E16D5">
        <w:t>.</w:t>
      </w:r>
    </w:p>
    <w:p w:rsidR="005E16D5" w:rsidRDefault="005E16D5" w:rsidP="005E16D5">
      <w:pPr>
        <w:spacing w:after="0" w:line="240" w:lineRule="auto"/>
        <w:jc w:val="both"/>
      </w:pPr>
    </w:p>
    <w:p w:rsidR="005E16D5" w:rsidRDefault="005E16D5" w:rsidP="005E16D5">
      <w:pPr>
        <w:spacing w:after="0" w:line="240" w:lineRule="auto"/>
        <w:jc w:val="both"/>
      </w:pPr>
      <w:r>
        <w:t xml:space="preserve">Porównując sąsiednie miasta Ełk i Łomżę, w </w:t>
      </w:r>
      <w:r w:rsidR="001007FC">
        <w:t xml:space="preserve">nieco </w:t>
      </w:r>
      <w:r>
        <w:t xml:space="preserve">lepszej sytuacji od Suwałk przedstawia się miasto Ełk. Powierzchnia Ełku to 2 105 ha, z czego na koniec 2013 r. 994 ha objęte były miejscowymi planami zagospodarowania przestrzennego (co stanowi ponad 47% powierzchni miasta). W tym: 267,9 ha było przeznaczone pod zabudowę usługową, natomiast 110,3 ha – pod zabudowę produkcyjną, co stanowi około 38% wszystkich terenów objętych </w:t>
      </w:r>
      <w:proofErr w:type="spellStart"/>
      <w:r>
        <w:t>mpzp</w:t>
      </w:r>
      <w:proofErr w:type="spellEnd"/>
      <w:r>
        <w:t xml:space="preserve">). </w:t>
      </w:r>
    </w:p>
    <w:p w:rsidR="005E16D5" w:rsidRDefault="005E16D5" w:rsidP="005E16D5">
      <w:pPr>
        <w:spacing w:after="0" w:line="240" w:lineRule="auto"/>
        <w:jc w:val="both"/>
      </w:pPr>
    </w:p>
    <w:p w:rsidR="005E16D5" w:rsidRDefault="005E16D5" w:rsidP="005E16D5">
      <w:pPr>
        <w:spacing w:after="0" w:line="240" w:lineRule="auto"/>
        <w:jc w:val="both"/>
      </w:pPr>
      <w:r>
        <w:t xml:space="preserve">Sytuacja w Łomży przedstawia się nieco gorzej niż w Suwałkach, ponieważ na 3 267 ha (powierzchnia Łomży), tylko 516 ha było objętych miejscowymi planami zagospodarowania przestrzennego – około 16% powierzchni miasta (z czego 99,59 ha stanowiły tereny pod zabudowę usługową, a 82,56 ha tereny pod zabudowę produkcyjną – w sumie 35 % wszystkich terenów objętych </w:t>
      </w:r>
      <w:proofErr w:type="spellStart"/>
      <w:r>
        <w:t>mpzp</w:t>
      </w:r>
      <w:proofErr w:type="spellEnd"/>
      <w:r>
        <w:t xml:space="preserve">, dane na koniec 2013 roku). </w:t>
      </w:r>
    </w:p>
    <w:p w:rsidR="005E16D5" w:rsidRDefault="005E16D5" w:rsidP="005E16D5">
      <w:pPr>
        <w:spacing w:after="0" w:line="240" w:lineRule="auto"/>
        <w:jc w:val="both"/>
        <w:rPr>
          <w:b/>
        </w:rPr>
      </w:pPr>
    </w:p>
    <w:p w:rsidR="005E16D5" w:rsidRDefault="005E16D5" w:rsidP="005E16D5">
      <w:pPr>
        <w:spacing w:after="0" w:line="240" w:lineRule="auto"/>
        <w:jc w:val="both"/>
      </w:pPr>
      <w:r w:rsidRPr="00FA1BAA">
        <w:rPr>
          <w:b/>
        </w:rPr>
        <w:t>Tabela nr 3</w:t>
      </w:r>
      <w:r>
        <w:rPr>
          <w:b/>
        </w:rPr>
        <w:t xml:space="preserve">. </w:t>
      </w:r>
      <w:r w:rsidRPr="00FA1BAA">
        <w:t>Teren</w:t>
      </w:r>
      <w:r>
        <w:t xml:space="preserve">y usługowe i produkcyjne w </w:t>
      </w:r>
      <w:proofErr w:type="spellStart"/>
      <w:r>
        <w:t>mpzp</w:t>
      </w:r>
      <w:proofErr w:type="spellEnd"/>
    </w:p>
    <w:tbl>
      <w:tblPr>
        <w:tblStyle w:val="Tabela-Siatka"/>
        <w:tblW w:w="0" w:type="auto"/>
        <w:tblLook w:val="04A0"/>
      </w:tblPr>
      <w:tblGrid>
        <w:gridCol w:w="3936"/>
        <w:gridCol w:w="1842"/>
        <w:gridCol w:w="1843"/>
        <w:gridCol w:w="1591"/>
      </w:tblGrid>
      <w:tr w:rsidR="005E16D5" w:rsidRPr="002537A0" w:rsidTr="006737FC">
        <w:tc>
          <w:tcPr>
            <w:tcW w:w="3936" w:type="dxa"/>
          </w:tcPr>
          <w:p w:rsidR="005E16D5" w:rsidRPr="002537A0" w:rsidRDefault="005E16D5" w:rsidP="006737FC">
            <w:pPr>
              <w:rPr>
                <w:b/>
              </w:rPr>
            </w:pPr>
          </w:p>
        </w:tc>
        <w:tc>
          <w:tcPr>
            <w:tcW w:w="1842" w:type="dxa"/>
          </w:tcPr>
          <w:p w:rsidR="005E16D5" w:rsidRPr="002537A0" w:rsidRDefault="005E16D5" w:rsidP="006737FC">
            <w:pPr>
              <w:rPr>
                <w:b/>
              </w:rPr>
            </w:pPr>
            <w:r w:rsidRPr="002537A0">
              <w:rPr>
                <w:b/>
              </w:rPr>
              <w:t>m. Suwałki</w:t>
            </w:r>
          </w:p>
        </w:tc>
        <w:tc>
          <w:tcPr>
            <w:tcW w:w="1843" w:type="dxa"/>
          </w:tcPr>
          <w:p w:rsidR="005E16D5" w:rsidRPr="002537A0" w:rsidRDefault="005E16D5" w:rsidP="006737FC">
            <w:pPr>
              <w:rPr>
                <w:b/>
              </w:rPr>
            </w:pPr>
            <w:r w:rsidRPr="002537A0">
              <w:rPr>
                <w:b/>
              </w:rPr>
              <w:t>m. Łomża</w:t>
            </w:r>
          </w:p>
        </w:tc>
        <w:tc>
          <w:tcPr>
            <w:tcW w:w="1591" w:type="dxa"/>
          </w:tcPr>
          <w:p w:rsidR="005E16D5" w:rsidRPr="002537A0" w:rsidRDefault="005E16D5" w:rsidP="006737FC">
            <w:pPr>
              <w:rPr>
                <w:b/>
              </w:rPr>
            </w:pPr>
            <w:r w:rsidRPr="002537A0">
              <w:rPr>
                <w:b/>
              </w:rPr>
              <w:t>m. Ełk</w:t>
            </w:r>
          </w:p>
        </w:tc>
      </w:tr>
      <w:tr w:rsidR="005E16D5" w:rsidTr="006737FC">
        <w:tc>
          <w:tcPr>
            <w:tcW w:w="3936" w:type="dxa"/>
          </w:tcPr>
          <w:p w:rsidR="005E16D5" w:rsidRPr="00CC25E8" w:rsidRDefault="005E16D5" w:rsidP="006737FC">
            <w:pPr>
              <w:jc w:val="both"/>
              <w:rPr>
                <w:b/>
              </w:rPr>
            </w:pPr>
            <w:r w:rsidRPr="00CC25E8">
              <w:rPr>
                <w:b/>
              </w:rPr>
              <w:t>Powierzchnia w ha</w:t>
            </w:r>
          </w:p>
        </w:tc>
        <w:tc>
          <w:tcPr>
            <w:tcW w:w="1842" w:type="dxa"/>
            <w:vAlign w:val="center"/>
          </w:tcPr>
          <w:p w:rsidR="005E16D5" w:rsidRDefault="005E16D5" w:rsidP="006737FC">
            <w:r>
              <w:t>6 551</w:t>
            </w:r>
          </w:p>
        </w:tc>
        <w:tc>
          <w:tcPr>
            <w:tcW w:w="1843" w:type="dxa"/>
            <w:vAlign w:val="center"/>
          </w:tcPr>
          <w:p w:rsidR="005E16D5" w:rsidRDefault="005E16D5" w:rsidP="006737FC">
            <w:r>
              <w:t>3 267</w:t>
            </w:r>
          </w:p>
        </w:tc>
        <w:tc>
          <w:tcPr>
            <w:tcW w:w="1591" w:type="dxa"/>
            <w:vAlign w:val="center"/>
          </w:tcPr>
          <w:p w:rsidR="005E16D5" w:rsidRDefault="005E16D5" w:rsidP="006737FC">
            <w:r>
              <w:t>2 105</w:t>
            </w:r>
          </w:p>
        </w:tc>
      </w:tr>
      <w:tr w:rsidR="005E16D5" w:rsidTr="006737FC">
        <w:tc>
          <w:tcPr>
            <w:tcW w:w="3936" w:type="dxa"/>
          </w:tcPr>
          <w:p w:rsidR="005E16D5" w:rsidRPr="00CC25E8" w:rsidRDefault="005E16D5" w:rsidP="006737FC">
            <w:pPr>
              <w:jc w:val="both"/>
              <w:rPr>
                <w:b/>
              </w:rPr>
            </w:pPr>
            <w:r w:rsidRPr="00CC25E8">
              <w:rPr>
                <w:b/>
              </w:rPr>
              <w:t xml:space="preserve">Tereny objęte </w:t>
            </w:r>
            <w:proofErr w:type="spellStart"/>
            <w:r w:rsidRPr="00CC25E8">
              <w:rPr>
                <w:b/>
              </w:rPr>
              <w:t>mpzp</w:t>
            </w:r>
            <w:proofErr w:type="spellEnd"/>
            <w:r w:rsidRPr="00CC25E8">
              <w:rPr>
                <w:b/>
              </w:rPr>
              <w:t xml:space="preserve"> w ha / odniesienie </w:t>
            </w:r>
            <w:r>
              <w:rPr>
                <w:b/>
              </w:rPr>
              <w:t>%</w:t>
            </w:r>
            <w:r w:rsidRPr="00CC25E8">
              <w:rPr>
                <w:b/>
              </w:rPr>
              <w:t xml:space="preserve"> do </w:t>
            </w:r>
            <w:r>
              <w:rPr>
                <w:b/>
              </w:rPr>
              <w:t xml:space="preserve">całej </w:t>
            </w:r>
            <w:r w:rsidRPr="00CC25E8">
              <w:rPr>
                <w:b/>
              </w:rPr>
              <w:t>powierzchni miasta</w:t>
            </w:r>
          </w:p>
        </w:tc>
        <w:tc>
          <w:tcPr>
            <w:tcW w:w="1842" w:type="dxa"/>
            <w:vAlign w:val="center"/>
          </w:tcPr>
          <w:p w:rsidR="005E16D5" w:rsidRDefault="005E16D5" w:rsidP="006737FC">
            <w:r>
              <w:t>2 440 / 37%</w:t>
            </w:r>
          </w:p>
        </w:tc>
        <w:tc>
          <w:tcPr>
            <w:tcW w:w="1843" w:type="dxa"/>
            <w:vAlign w:val="center"/>
          </w:tcPr>
          <w:p w:rsidR="005E16D5" w:rsidRDefault="005E16D5" w:rsidP="006737FC">
            <w:r>
              <w:t>516 / 16%</w:t>
            </w:r>
          </w:p>
        </w:tc>
        <w:tc>
          <w:tcPr>
            <w:tcW w:w="1591" w:type="dxa"/>
            <w:vAlign w:val="center"/>
          </w:tcPr>
          <w:p w:rsidR="005E16D5" w:rsidRDefault="005E16D5" w:rsidP="006737FC">
            <w:r>
              <w:t>994 / 47%</w:t>
            </w:r>
          </w:p>
        </w:tc>
      </w:tr>
      <w:tr w:rsidR="005E16D5" w:rsidTr="006737FC">
        <w:tc>
          <w:tcPr>
            <w:tcW w:w="3936" w:type="dxa"/>
          </w:tcPr>
          <w:p w:rsidR="005E16D5" w:rsidRPr="00CC25E8" w:rsidRDefault="005E16D5" w:rsidP="006737FC">
            <w:pPr>
              <w:jc w:val="both"/>
              <w:rPr>
                <w:b/>
              </w:rPr>
            </w:pPr>
            <w:r w:rsidRPr="00CC25E8">
              <w:rPr>
                <w:b/>
              </w:rPr>
              <w:t xml:space="preserve">Tereny objęte </w:t>
            </w:r>
            <w:proofErr w:type="spellStart"/>
            <w:r w:rsidRPr="00CC25E8">
              <w:rPr>
                <w:b/>
              </w:rPr>
              <w:t>mpzp</w:t>
            </w:r>
            <w:proofErr w:type="spellEnd"/>
            <w:r w:rsidRPr="00CC25E8">
              <w:rPr>
                <w:b/>
              </w:rPr>
              <w:t xml:space="preserve"> przeznaczone pod zabudowę usługową i produkcyjną w ha / odniesienie % do wszystkich terenów objętych </w:t>
            </w:r>
            <w:proofErr w:type="spellStart"/>
            <w:r w:rsidRPr="00CC25E8">
              <w:rPr>
                <w:b/>
              </w:rPr>
              <w:t>mpzp</w:t>
            </w:r>
            <w:proofErr w:type="spellEnd"/>
          </w:p>
        </w:tc>
        <w:tc>
          <w:tcPr>
            <w:tcW w:w="1842" w:type="dxa"/>
            <w:vAlign w:val="center"/>
          </w:tcPr>
          <w:p w:rsidR="005E16D5" w:rsidRDefault="005E16D5" w:rsidP="006737FC">
            <w:r>
              <w:t>974,60 / 40%</w:t>
            </w:r>
          </w:p>
        </w:tc>
        <w:tc>
          <w:tcPr>
            <w:tcW w:w="1843" w:type="dxa"/>
            <w:vAlign w:val="center"/>
          </w:tcPr>
          <w:p w:rsidR="005E16D5" w:rsidRDefault="005E16D5" w:rsidP="006737FC">
            <w:r>
              <w:t>182,15 / 35%</w:t>
            </w:r>
          </w:p>
        </w:tc>
        <w:tc>
          <w:tcPr>
            <w:tcW w:w="1591" w:type="dxa"/>
            <w:vAlign w:val="center"/>
          </w:tcPr>
          <w:p w:rsidR="005E16D5" w:rsidRDefault="005E16D5" w:rsidP="006737FC">
            <w:r>
              <w:t>378,20 / 38%</w:t>
            </w:r>
          </w:p>
        </w:tc>
      </w:tr>
    </w:tbl>
    <w:p w:rsidR="002F1D5B" w:rsidRDefault="002F1D5B" w:rsidP="00FE3FC5">
      <w:pPr>
        <w:pStyle w:val="Nagwek1"/>
        <w:numPr>
          <w:ilvl w:val="0"/>
          <w:numId w:val="7"/>
        </w:numPr>
      </w:pPr>
      <w:bookmarkStart w:id="31" w:name="_Toc390759482"/>
      <w:r>
        <w:t>Cele Programu</w:t>
      </w:r>
      <w:bookmarkEnd w:id="31"/>
    </w:p>
    <w:p w:rsidR="002F1D5B" w:rsidRDefault="00F26D4F" w:rsidP="00FA1BAA">
      <w:pPr>
        <w:spacing w:after="0" w:line="240" w:lineRule="auto"/>
        <w:jc w:val="both"/>
      </w:pPr>
      <w:r>
        <w:t>Na podstawie diagnozy stanu gospodarki miasta oraz architektury celów gospodarczych sformułowanych w strategii miejskiej, celem strategicznym programu rozwoju przedsiębiorczości w Suwałkach jest:</w:t>
      </w:r>
    </w:p>
    <w:p w:rsidR="00FE59AD" w:rsidRDefault="00F26D4F" w:rsidP="00F26D4F">
      <w:pPr>
        <w:jc w:val="both"/>
        <w:rPr>
          <w:color w:val="365F91" w:themeColor="accent1" w:themeShade="BF"/>
          <w:sz w:val="40"/>
          <w:szCs w:val="40"/>
        </w:rPr>
      </w:pPr>
      <w:r w:rsidRPr="00F26D4F">
        <w:rPr>
          <w:color w:val="365F91" w:themeColor="accent1" w:themeShade="BF"/>
          <w:sz w:val="40"/>
          <w:szCs w:val="40"/>
        </w:rPr>
        <w:t>Wzrost konkurencyjności gospodarczej</w:t>
      </w:r>
    </w:p>
    <w:p w:rsidR="005F0ED9" w:rsidRPr="00FE59AD" w:rsidRDefault="00F26D4F" w:rsidP="00F26D4F">
      <w:pPr>
        <w:jc w:val="both"/>
        <w:rPr>
          <w:color w:val="365F91" w:themeColor="accent1" w:themeShade="BF"/>
          <w:sz w:val="40"/>
          <w:szCs w:val="40"/>
        </w:rPr>
      </w:pPr>
      <w:r>
        <w:t>Cel strategiczny będzie wdrażany za pomocą celów operacyjnych sformułowanych w strategii miejskiej. Są to:</w:t>
      </w:r>
    </w:p>
    <w:p w:rsidR="00F26D4F" w:rsidRPr="00A81026" w:rsidRDefault="00F26D4F" w:rsidP="00F26D4F">
      <w:pPr>
        <w:jc w:val="both"/>
        <w:rPr>
          <w:color w:val="365F91" w:themeColor="accent1" w:themeShade="BF"/>
          <w:sz w:val="32"/>
          <w:szCs w:val="32"/>
        </w:rPr>
      </w:pPr>
      <w:r w:rsidRPr="00A81026">
        <w:rPr>
          <w:color w:val="365F91" w:themeColor="accent1" w:themeShade="BF"/>
          <w:sz w:val="32"/>
          <w:szCs w:val="32"/>
        </w:rPr>
        <w:t>Wzrost innowacyjności gospodarki</w:t>
      </w:r>
    </w:p>
    <w:p w:rsidR="00A81026" w:rsidRPr="00A81026" w:rsidRDefault="00F26D4F" w:rsidP="00F26D4F">
      <w:pPr>
        <w:jc w:val="both"/>
        <w:rPr>
          <w:color w:val="365F91" w:themeColor="accent1" w:themeShade="BF"/>
          <w:sz w:val="32"/>
          <w:szCs w:val="32"/>
        </w:rPr>
      </w:pPr>
      <w:r w:rsidRPr="00A81026">
        <w:rPr>
          <w:color w:val="365F91" w:themeColor="accent1" w:themeShade="BF"/>
          <w:sz w:val="32"/>
          <w:szCs w:val="32"/>
        </w:rPr>
        <w:t>Poprawa infrastruktury technicznej dla celów gospodarczych</w:t>
      </w:r>
    </w:p>
    <w:p w:rsidR="00F26D4F" w:rsidRPr="00A81026" w:rsidRDefault="00F26D4F" w:rsidP="00F26D4F">
      <w:pPr>
        <w:jc w:val="both"/>
        <w:rPr>
          <w:color w:val="365F91" w:themeColor="accent1" w:themeShade="BF"/>
          <w:sz w:val="32"/>
          <w:szCs w:val="32"/>
        </w:rPr>
      </w:pPr>
      <w:r w:rsidRPr="00A81026">
        <w:rPr>
          <w:color w:val="365F91" w:themeColor="accent1" w:themeShade="BF"/>
          <w:sz w:val="32"/>
          <w:szCs w:val="32"/>
        </w:rPr>
        <w:t>Wzrost znaczenia przemysłów kreatywnych w rozwoju gospodarczym</w:t>
      </w:r>
    </w:p>
    <w:p w:rsidR="00F26D4F" w:rsidRPr="00A81026" w:rsidRDefault="00F26D4F" w:rsidP="00F26D4F">
      <w:pPr>
        <w:jc w:val="both"/>
        <w:rPr>
          <w:color w:val="365F91" w:themeColor="accent1" w:themeShade="BF"/>
          <w:sz w:val="32"/>
          <w:szCs w:val="32"/>
        </w:rPr>
      </w:pPr>
      <w:r w:rsidRPr="00A81026">
        <w:rPr>
          <w:color w:val="365F91" w:themeColor="accent1" w:themeShade="BF"/>
          <w:sz w:val="32"/>
          <w:szCs w:val="32"/>
        </w:rPr>
        <w:t>Wzrost przedsiębiorczości</w:t>
      </w:r>
    </w:p>
    <w:p w:rsidR="00F26D4F" w:rsidRPr="00545621" w:rsidRDefault="00F26D4F" w:rsidP="00F26D4F">
      <w:pPr>
        <w:jc w:val="both"/>
        <w:rPr>
          <w:color w:val="365F91" w:themeColor="accent1" w:themeShade="BF"/>
          <w:sz w:val="32"/>
          <w:szCs w:val="32"/>
        </w:rPr>
      </w:pPr>
      <w:r w:rsidRPr="00A81026">
        <w:rPr>
          <w:color w:val="365F91" w:themeColor="accent1" w:themeShade="BF"/>
          <w:sz w:val="32"/>
          <w:szCs w:val="32"/>
        </w:rPr>
        <w:t>Wsparcie sektorów kluczowych dla miasta</w:t>
      </w:r>
    </w:p>
    <w:p w:rsidR="00A81026" w:rsidRDefault="00A81026" w:rsidP="00545621">
      <w:pPr>
        <w:pStyle w:val="Nagwek1"/>
      </w:pPr>
      <w:bookmarkStart w:id="32" w:name="_Toc390759483"/>
      <w:r>
        <w:t>4. Cele operacyjne</w:t>
      </w:r>
      <w:bookmarkEnd w:id="32"/>
    </w:p>
    <w:p w:rsidR="00A81026" w:rsidRDefault="00A81026" w:rsidP="00A81026">
      <w:pPr>
        <w:pStyle w:val="Nagwek2"/>
      </w:pPr>
      <w:bookmarkStart w:id="33" w:name="_Toc390759484"/>
      <w:r>
        <w:t>Cel operacyjny 1.</w:t>
      </w:r>
      <w:r w:rsidR="008D20B2">
        <w:t>1.</w:t>
      </w:r>
      <w:r>
        <w:t xml:space="preserve"> Wzrost innowacyjności gospodarki</w:t>
      </w:r>
      <w:bookmarkEnd w:id="33"/>
    </w:p>
    <w:p w:rsidR="00A81026" w:rsidRDefault="00A81026" w:rsidP="00537018">
      <w:pPr>
        <w:spacing w:after="0" w:line="240" w:lineRule="auto"/>
        <w:jc w:val="both"/>
      </w:pPr>
      <w:r>
        <w:t>Na konkurencyjność gospodarki bardzo duży wpływ ma jej innowacyjność. W Suwałkach tradycyjnie zlokalizowane były przemysły charakteryzujące się niewielkim poziomem zaawansowania technologicznego, dlatego na potrzeby wsparcia innowacyjności suwalskiej gospodarki powstał Park Naukowo-Technologiczny Polska-Wschód</w:t>
      </w:r>
      <w:r w:rsidR="009C1F39">
        <w:t xml:space="preserve"> w Suwałkach Sp. z o.o</w:t>
      </w:r>
      <w:r>
        <w:t xml:space="preserve">. Jego potencjał nie jest jednak </w:t>
      </w:r>
      <w:r w:rsidR="009C1F39">
        <w:t xml:space="preserve">dotychczas </w:t>
      </w:r>
      <w:r>
        <w:t xml:space="preserve">w wystarczającym stopniu wykorzystywany. Podejmowane działania będą koncentrowały się na rozwoju wyposażenia laboratoriów badawczo-rozwojowych, w szczególności w zakresie wyłaniającej się specjalizacji lokalnej – ratownictwa medycznego – oraz utworzeniu systemu wsparcia i zachęt do wchodzenia w sieci współpracy instytucji naukowych i przedsiębiorców. Celem podejmowanych działań będzie rozwój innowacyjności Suwałk </w:t>
      </w:r>
      <w:r w:rsidR="00AD3AA0">
        <w:t>i całego podregionu suwalskiego</w:t>
      </w:r>
      <w:r>
        <w:t>.</w:t>
      </w:r>
    </w:p>
    <w:p w:rsidR="009805E4" w:rsidRDefault="00A81026" w:rsidP="00AD3AA0">
      <w:pPr>
        <w:jc w:val="both"/>
      </w:pPr>
      <w:r>
        <w:t>Cel będzie wdrażany prz</w:t>
      </w:r>
      <w:r w:rsidR="00AF2087">
        <w:t xml:space="preserve">ez </w:t>
      </w:r>
      <w:r w:rsidR="00D238F9">
        <w:t>następujące kierunki działań:</w:t>
      </w:r>
    </w:p>
    <w:p w:rsidR="004D70A4" w:rsidRPr="004D70A4" w:rsidRDefault="00D238F9" w:rsidP="00A7457A">
      <w:pPr>
        <w:pStyle w:val="Nagwek3"/>
      </w:pPr>
      <w:bookmarkStart w:id="34" w:name="_Toc390759485"/>
      <w:r>
        <w:t>1.1.1.  R</w:t>
      </w:r>
      <w:r w:rsidR="00A81026" w:rsidRPr="00AF2087">
        <w:t>ozwój centrum ratownictwa medycznego</w:t>
      </w:r>
      <w:bookmarkEnd w:id="34"/>
      <w:r w:rsidR="00AF2087">
        <w:t xml:space="preserve"> </w:t>
      </w:r>
    </w:p>
    <w:tbl>
      <w:tblPr>
        <w:tblStyle w:val="Tabela-Siatka"/>
        <w:tblW w:w="0" w:type="auto"/>
        <w:tblLook w:val="04A0"/>
      </w:tblPr>
      <w:tblGrid>
        <w:gridCol w:w="2042"/>
        <w:gridCol w:w="2275"/>
        <w:gridCol w:w="1764"/>
        <w:gridCol w:w="1441"/>
        <w:gridCol w:w="1766"/>
      </w:tblGrid>
      <w:tr w:rsidR="004D7ED0" w:rsidRPr="002B47D5" w:rsidTr="004D7ED0">
        <w:tc>
          <w:tcPr>
            <w:tcW w:w="2042" w:type="dxa"/>
            <w:shd w:val="clear" w:color="auto" w:fill="4F81BD" w:themeFill="accent1"/>
          </w:tcPr>
          <w:p w:rsidR="004D7ED0" w:rsidRPr="002B47D5" w:rsidRDefault="004D7ED0" w:rsidP="00817792">
            <w:pPr>
              <w:rPr>
                <w:color w:val="FFFFFF" w:themeColor="background1"/>
                <w:sz w:val="18"/>
                <w:szCs w:val="18"/>
              </w:rPr>
            </w:pPr>
            <w:r>
              <w:rPr>
                <w:color w:val="FFFFFF" w:themeColor="background1"/>
                <w:sz w:val="18"/>
                <w:szCs w:val="18"/>
              </w:rPr>
              <w:t>Działanie</w:t>
            </w:r>
          </w:p>
        </w:tc>
        <w:tc>
          <w:tcPr>
            <w:tcW w:w="2275" w:type="dxa"/>
            <w:shd w:val="clear" w:color="auto" w:fill="4F81BD" w:themeFill="accent1"/>
          </w:tcPr>
          <w:p w:rsidR="004D7ED0" w:rsidRPr="002B47D5" w:rsidRDefault="004D7ED0" w:rsidP="00817792">
            <w:pPr>
              <w:rPr>
                <w:color w:val="FFFFFF" w:themeColor="background1"/>
                <w:sz w:val="18"/>
                <w:szCs w:val="18"/>
              </w:rPr>
            </w:pPr>
            <w:r>
              <w:rPr>
                <w:color w:val="FFFFFF" w:themeColor="background1"/>
                <w:sz w:val="18"/>
                <w:szCs w:val="18"/>
              </w:rPr>
              <w:t>Podmioty odpowiedzialne</w:t>
            </w:r>
          </w:p>
        </w:tc>
        <w:tc>
          <w:tcPr>
            <w:tcW w:w="1764" w:type="dxa"/>
            <w:shd w:val="clear" w:color="auto" w:fill="4F81BD" w:themeFill="accent1"/>
          </w:tcPr>
          <w:p w:rsidR="004D7ED0" w:rsidRPr="002B47D5" w:rsidRDefault="004D7ED0" w:rsidP="00817792">
            <w:pPr>
              <w:rPr>
                <w:color w:val="FFFFFF" w:themeColor="background1"/>
                <w:sz w:val="18"/>
                <w:szCs w:val="18"/>
              </w:rPr>
            </w:pPr>
            <w:r>
              <w:rPr>
                <w:color w:val="FFFFFF" w:themeColor="background1"/>
                <w:sz w:val="18"/>
                <w:szCs w:val="18"/>
              </w:rPr>
              <w:t>Grupy docelowe</w:t>
            </w:r>
          </w:p>
        </w:tc>
        <w:tc>
          <w:tcPr>
            <w:tcW w:w="1441" w:type="dxa"/>
            <w:shd w:val="clear" w:color="auto" w:fill="4F81BD" w:themeFill="accent1"/>
          </w:tcPr>
          <w:p w:rsidR="004D7ED0" w:rsidRDefault="004D7ED0" w:rsidP="00817792">
            <w:pPr>
              <w:rPr>
                <w:color w:val="FFFFFF" w:themeColor="background1"/>
                <w:sz w:val="18"/>
                <w:szCs w:val="18"/>
              </w:rPr>
            </w:pPr>
            <w:r>
              <w:rPr>
                <w:color w:val="FFFFFF" w:themeColor="background1"/>
                <w:sz w:val="18"/>
                <w:szCs w:val="18"/>
              </w:rPr>
              <w:t>Koszt</w:t>
            </w:r>
          </w:p>
        </w:tc>
        <w:tc>
          <w:tcPr>
            <w:tcW w:w="1766" w:type="dxa"/>
            <w:shd w:val="clear" w:color="auto" w:fill="4F81BD" w:themeFill="accent1"/>
          </w:tcPr>
          <w:p w:rsidR="004D7ED0" w:rsidRPr="002B47D5" w:rsidRDefault="004D7ED0" w:rsidP="00817792">
            <w:pPr>
              <w:rPr>
                <w:color w:val="FFFFFF" w:themeColor="background1"/>
                <w:sz w:val="18"/>
                <w:szCs w:val="18"/>
              </w:rPr>
            </w:pPr>
            <w:r>
              <w:rPr>
                <w:color w:val="FFFFFF" w:themeColor="background1"/>
                <w:sz w:val="18"/>
                <w:szCs w:val="18"/>
              </w:rPr>
              <w:t>Źródła finansowania</w:t>
            </w:r>
          </w:p>
        </w:tc>
      </w:tr>
      <w:tr w:rsidR="004D7ED0" w:rsidRPr="002B47D5" w:rsidTr="004D7ED0">
        <w:tc>
          <w:tcPr>
            <w:tcW w:w="2042" w:type="dxa"/>
          </w:tcPr>
          <w:p w:rsidR="004D7ED0" w:rsidRPr="005152A0" w:rsidRDefault="00B07FCD" w:rsidP="00187394">
            <w:pPr>
              <w:jc w:val="left"/>
              <w:rPr>
                <w:sz w:val="18"/>
                <w:szCs w:val="18"/>
              </w:rPr>
            </w:pPr>
            <w:r>
              <w:rPr>
                <w:sz w:val="18"/>
                <w:szCs w:val="18"/>
              </w:rPr>
              <w:t>Doposażenie i rozwój laboratorium ratownictwa medycznego</w:t>
            </w:r>
          </w:p>
        </w:tc>
        <w:tc>
          <w:tcPr>
            <w:tcW w:w="2275" w:type="dxa"/>
          </w:tcPr>
          <w:p w:rsidR="004D7ED0" w:rsidRPr="002B47D5" w:rsidRDefault="004D7ED0" w:rsidP="004D7ED0">
            <w:pPr>
              <w:jc w:val="both"/>
              <w:rPr>
                <w:sz w:val="18"/>
                <w:szCs w:val="18"/>
              </w:rPr>
            </w:pPr>
            <w:r>
              <w:rPr>
                <w:sz w:val="18"/>
                <w:szCs w:val="18"/>
              </w:rPr>
              <w:t>P</w:t>
            </w:r>
            <w:r w:rsidR="00715CE4">
              <w:rPr>
                <w:sz w:val="18"/>
                <w:szCs w:val="18"/>
              </w:rPr>
              <w:t>ark NT</w:t>
            </w:r>
          </w:p>
        </w:tc>
        <w:tc>
          <w:tcPr>
            <w:tcW w:w="1764" w:type="dxa"/>
          </w:tcPr>
          <w:p w:rsidR="004D7ED0" w:rsidRPr="002B47D5" w:rsidRDefault="004D7ED0" w:rsidP="00817792">
            <w:pPr>
              <w:jc w:val="both"/>
              <w:rPr>
                <w:sz w:val="18"/>
                <w:szCs w:val="18"/>
              </w:rPr>
            </w:pPr>
            <w:r>
              <w:rPr>
                <w:sz w:val="18"/>
                <w:szCs w:val="18"/>
              </w:rPr>
              <w:t>Służby ratownictwa medycznego, firmy z sektora</w:t>
            </w:r>
          </w:p>
        </w:tc>
        <w:tc>
          <w:tcPr>
            <w:tcW w:w="1441" w:type="dxa"/>
          </w:tcPr>
          <w:p w:rsidR="004D7ED0" w:rsidRDefault="001007FC" w:rsidP="00817792">
            <w:pPr>
              <w:jc w:val="both"/>
              <w:rPr>
                <w:sz w:val="18"/>
                <w:szCs w:val="18"/>
              </w:rPr>
            </w:pPr>
            <w:r>
              <w:rPr>
                <w:sz w:val="18"/>
                <w:szCs w:val="18"/>
              </w:rPr>
              <w:t>1</w:t>
            </w:r>
            <w:r w:rsidR="00B12567">
              <w:rPr>
                <w:sz w:val="18"/>
                <w:szCs w:val="18"/>
              </w:rPr>
              <w:t>.000.000 zł</w:t>
            </w:r>
          </w:p>
        </w:tc>
        <w:tc>
          <w:tcPr>
            <w:tcW w:w="1766" w:type="dxa"/>
          </w:tcPr>
          <w:p w:rsidR="004D7ED0" w:rsidRPr="002B47D5" w:rsidRDefault="004D7ED0" w:rsidP="00187394">
            <w:pPr>
              <w:jc w:val="left"/>
              <w:rPr>
                <w:sz w:val="18"/>
                <w:szCs w:val="18"/>
              </w:rPr>
            </w:pPr>
            <w:r>
              <w:rPr>
                <w:sz w:val="18"/>
                <w:szCs w:val="18"/>
              </w:rPr>
              <w:t>Fundusze unijne, instrumenty zwrotne, środki własne</w:t>
            </w:r>
          </w:p>
        </w:tc>
      </w:tr>
      <w:tr w:rsidR="00B07FCD" w:rsidRPr="002B47D5" w:rsidTr="004D7ED0">
        <w:tc>
          <w:tcPr>
            <w:tcW w:w="2042" w:type="dxa"/>
          </w:tcPr>
          <w:p w:rsidR="00B07FCD" w:rsidRDefault="00B07FCD" w:rsidP="00187394">
            <w:pPr>
              <w:jc w:val="left"/>
              <w:rPr>
                <w:sz w:val="18"/>
                <w:szCs w:val="18"/>
              </w:rPr>
            </w:pPr>
            <w:r>
              <w:rPr>
                <w:sz w:val="18"/>
                <w:szCs w:val="18"/>
              </w:rPr>
              <w:t>Utworzenie w oparciu o laboratorium ratownictwa medycznego centrum szkolenioweg</w:t>
            </w:r>
            <w:r w:rsidR="00226058">
              <w:rPr>
                <w:sz w:val="18"/>
                <w:szCs w:val="18"/>
              </w:rPr>
              <w:t xml:space="preserve">o służb ratowniczych </w:t>
            </w:r>
            <w:r>
              <w:rPr>
                <w:sz w:val="18"/>
                <w:szCs w:val="18"/>
              </w:rPr>
              <w:t>z</w:t>
            </w:r>
            <w:r w:rsidR="00226058">
              <w:rPr>
                <w:sz w:val="18"/>
                <w:szCs w:val="18"/>
              </w:rPr>
              <w:t xml:space="preserve"> Polski i</w:t>
            </w:r>
            <w:r>
              <w:rPr>
                <w:sz w:val="18"/>
                <w:szCs w:val="18"/>
              </w:rPr>
              <w:t xml:space="preserve"> innych krajów europejskich.</w:t>
            </w:r>
          </w:p>
        </w:tc>
        <w:tc>
          <w:tcPr>
            <w:tcW w:w="2275" w:type="dxa"/>
          </w:tcPr>
          <w:p w:rsidR="00B07FCD" w:rsidRPr="002B47D5" w:rsidRDefault="00B07FCD" w:rsidP="00B07FCD">
            <w:pPr>
              <w:jc w:val="both"/>
              <w:rPr>
                <w:sz w:val="18"/>
                <w:szCs w:val="18"/>
              </w:rPr>
            </w:pPr>
            <w:r>
              <w:rPr>
                <w:sz w:val="18"/>
                <w:szCs w:val="18"/>
              </w:rPr>
              <w:t>Park NT</w:t>
            </w:r>
          </w:p>
        </w:tc>
        <w:tc>
          <w:tcPr>
            <w:tcW w:w="1764" w:type="dxa"/>
          </w:tcPr>
          <w:p w:rsidR="00B07FCD" w:rsidRPr="002B47D5" w:rsidRDefault="00B07FCD" w:rsidP="00B07FCD">
            <w:pPr>
              <w:jc w:val="both"/>
              <w:rPr>
                <w:sz w:val="18"/>
                <w:szCs w:val="18"/>
              </w:rPr>
            </w:pPr>
            <w:r>
              <w:rPr>
                <w:sz w:val="18"/>
                <w:szCs w:val="18"/>
              </w:rPr>
              <w:t>Firmy z właściwych sektorów</w:t>
            </w:r>
          </w:p>
        </w:tc>
        <w:tc>
          <w:tcPr>
            <w:tcW w:w="1441" w:type="dxa"/>
          </w:tcPr>
          <w:p w:rsidR="00B07FCD" w:rsidRDefault="00B07FCD" w:rsidP="00B07FCD">
            <w:pPr>
              <w:jc w:val="both"/>
              <w:rPr>
                <w:sz w:val="18"/>
                <w:szCs w:val="18"/>
              </w:rPr>
            </w:pPr>
            <w:r>
              <w:rPr>
                <w:sz w:val="18"/>
                <w:szCs w:val="18"/>
              </w:rPr>
              <w:t>-</w:t>
            </w:r>
          </w:p>
        </w:tc>
        <w:tc>
          <w:tcPr>
            <w:tcW w:w="1766" w:type="dxa"/>
          </w:tcPr>
          <w:p w:rsidR="00B07FCD" w:rsidRPr="002B47D5" w:rsidRDefault="00B07FCD" w:rsidP="00187394">
            <w:pPr>
              <w:jc w:val="left"/>
              <w:rPr>
                <w:sz w:val="18"/>
                <w:szCs w:val="18"/>
              </w:rPr>
            </w:pPr>
            <w:r>
              <w:rPr>
                <w:sz w:val="18"/>
                <w:szCs w:val="18"/>
              </w:rPr>
              <w:t>Fundusze unijne, instrumenty zwrotne, środki własne</w:t>
            </w:r>
          </w:p>
        </w:tc>
      </w:tr>
    </w:tbl>
    <w:p w:rsidR="00545621" w:rsidRDefault="00545621" w:rsidP="00545621"/>
    <w:p w:rsidR="00D238F9" w:rsidRDefault="00D238F9" w:rsidP="000A55AF">
      <w:pPr>
        <w:pStyle w:val="Nagwek3"/>
      </w:pPr>
      <w:bookmarkStart w:id="35" w:name="_Toc390759486"/>
      <w:r>
        <w:t>1.1.2. W</w:t>
      </w:r>
      <w:r w:rsidRPr="00AF2087">
        <w:t>spieranie rozwoju Parku Naukowo-Technologicznego Polska-Wschód</w:t>
      </w:r>
      <w:r>
        <w:t>.</w:t>
      </w:r>
      <w:bookmarkEnd w:id="35"/>
    </w:p>
    <w:tbl>
      <w:tblPr>
        <w:tblStyle w:val="Tabela-Siatka"/>
        <w:tblW w:w="0" w:type="auto"/>
        <w:tblLook w:val="04A0"/>
      </w:tblPr>
      <w:tblGrid>
        <w:gridCol w:w="2042"/>
        <w:gridCol w:w="2275"/>
        <w:gridCol w:w="1764"/>
        <w:gridCol w:w="1441"/>
        <w:gridCol w:w="1766"/>
      </w:tblGrid>
      <w:tr w:rsidR="00D238F9" w:rsidRPr="002B47D5" w:rsidTr="00ED3014">
        <w:tc>
          <w:tcPr>
            <w:tcW w:w="2042" w:type="dxa"/>
            <w:shd w:val="clear" w:color="auto" w:fill="4F81BD" w:themeFill="accent1"/>
          </w:tcPr>
          <w:p w:rsidR="00D238F9" w:rsidRPr="002B47D5" w:rsidRDefault="00D238F9" w:rsidP="00ED3014">
            <w:pPr>
              <w:rPr>
                <w:color w:val="FFFFFF" w:themeColor="background1"/>
                <w:sz w:val="18"/>
                <w:szCs w:val="18"/>
              </w:rPr>
            </w:pPr>
            <w:r>
              <w:rPr>
                <w:color w:val="FFFFFF" w:themeColor="background1"/>
                <w:sz w:val="18"/>
                <w:szCs w:val="18"/>
              </w:rPr>
              <w:t>Działanie</w:t>
            </w:r>
          </w:p>
        </w:tc>
        <w:tc>
          <w:tcPr>
            <w:tcW w:w="2275" w:type="dxa"/>
            <w:shd w:val="clear" w:color="auto" w:fill="4F81BD" w:themeFill="accent1"/>
          </w:tcPr>
          <w:p w:rsidR="00D238F9" w:rsidRPr="002B47D5" w:rsidRDefault="00D238F9" w:rsidP="00ED3014">
            <w:pPr>
              <w:rPr>
                <w:color w:val="FFFFFF" w:themeColor="background1"/>
                <w:sz w:val="18"/>
                <w:szCs w:val="18"/>
              </w:rPr>
            </w:pPr>
            <w:r>
              <w:rPr>
                <w:color w:val="FFFFFF" w:themeColor="background1"/>
                <w:sz w:val="18"/>
                <w:szCs w:val="18"/>
              </w:rPr>
              <w:t>Podmioty odpowiedzialne</w:t>
            </w:r>
          </w:p>
        </w:tc>
        <w:tc>
          <w:tcPr>
            <w:tcW w:w="1764" w:type="dxa"/>
            <w:shd w:val="clear" w:color="auto" w:fill="4F81BD" w:themeFill="accent1"/>
          </w:tcPr>
          <w:p w:rsidR="00D238F9" w:rsidRPr="002B47D5" w:rsidRDefault="00D238F9" w:rsidP="00ED3014">
            <w:pPr>
              <w:rPr>
                <w:color w:val="FFFFFF" w:themeColor="background1"/>
                <w:sz w:val="18"/>
                <w:szCs w:val="18"/>
              </w:rPr>
            </w:pPr>
            <w:r>
              <w:rPr>
                <w:color w:val="FFFFFF" w:themeColor="background1"/>
                <w:sz w:val="18"/>
                <w:szCs w:val="18"/>
              </w:rPr>
              <w:t>Grupy docelowe</w:t>
            </w:r>
          </w:p>
        </w:tc>
        <w:tc>
          <w:tcPr>
            <w:tcW w:w="1441" w:type="dxa"/>
            <w:shd w:val="clear" w:color="auto" w:fill="4F81BD" w:themeFill="accent1"/>
          </w:tcPr>
          <w:p w:rsidR="00D238F9" w:rsidRDefault="00D238F9" w:rsidP="00ED3014">
            <w:pPr>
              <w:rPr>
                <w:color w:val="FFFFFF" w:themeColor="background1"/>
                <w:sz w:val="18"/>
                <w:szCs w:val="18"/>
              </w:rPr>
            </w:pPr>
            <w:r>
              <w:rPr>
                <w:color w:val="FFFFFF" w:themeColor="background1"/>
                <w:sz w:val="18"/>
                <w:szCs w:val="18"/>
              </w:rPr>
              <w:t>Koszt</w:t>
            </w:r>
          </w:p>
        </w:tc>
        <w:tc>
          <w:tcPr>
            <w:tcW w:w="1766" w:type="dxa"/>
            <w:shd w:val="clear" w:color="auto" w:fill="4F81BD" w:themeFill="accent1"/>
          </w:tcPr>
          <w:p w:rsidR="00D238F9" w:rsidRPr="002B47D5" w:rsidRDefault="00D238F9" w:rsidP="00ED3014">
            <w:pPr>
              <w:rPr>
                <w:color w:val="FFFFFF" w:themeColor="background1"/>
                <w:sz w:val="18"/>
                <w:szCs w:val="18"/>
              </w:rPr>
            </w:pPr>
            <w:r>
              <w:rPr>
                <w:color w:val="FFFFFF" w:themeColor="background1"/>
                <w:sz w:val="18"/>
                <w:szCs w:val="18"/>
              </w:rPr>
              <w:t>Źródła finansowania</w:t>
            </w:r>
          </w:p>
        </w:tc>
      </w:tr>
      <w:tr w:rsidR="00D238F9" w:rsidRPr="002B47D5" w:rsidTr="00ED3014">
        <w:tc>
          <w:tcPr>
            <w:tcW w:w="2042" w:type="dxa"/>
          </w:tcPr>
          <w:p w:rsidR="00D238F9" w:rsidRPr="005152A0" w:rsidRDefault="00D238F9" w:rsidP="00187394">
            <w:pPr>
              <w:jc w:val="left"/>
              <w:rPr>
                <w:sz w:val="18"/>
                <w:szCs w:val="18"/>
              </w:rPr>
            </w:pPr>
            <w:r>
              <w:rPr>
                <w:sz w:val="18"/>
                <w:szCs w:val="18"/>
              </w:rPr>
              <w:t>Nawiązanie współpracy z instytucjami badawczo-naukowymi z miast partnerskich</w:t>
            </w:r>
          </w:p>
        </w:tc>
        <w:tc>
          <w:tcPr>
            <w:tcW w:w="2275" w:type="dxa"/>
          </w:tcPr>
          <w:p w:rsidR="00D238F9" w:rsidRPr="002B47D5" w:rsidRDefault="00D238F9" w:rsidP="00ED3014">
            <w:pPr>
              <w:jc w:val="both"/>
              <w:rPr>
                <w:sz w:val="18"/>
                <w:szCs w:val="18"/>
              </w:rPr>
            </w:pPr>
            <w:r>
              <w:rPr>
                <w:sz w:val="18"/>
                <w:szCs w:val="18"/>
              </w:rPr>
              <w:t>P</w:t>
            </w:r>
            <w:r w:rsidR="00715CE4">
              <w:rPr>
                <w:sz w:val="18"/>
                <w:szCs w:val="18"/>
              </w:rPr>
              <w:t>ark NT</w:t>
            </w:r>
          </w:p>
        </w:tc>
        <w:tc>
          <w:tcPr>
            <w:tcW w:w="1764" w:type="dxa"/>
          </w:tcPr>
          <w:p w:rsidR="00D238F9" w:rsidRPr="002B47D5" w:rsidRDefault="00D238F9" w:rsidP="00ED3014">
            <w:pPr>
              <w:jc w:val="both"/>
              <w:rPr>
                <w:sz w:val="18"/>
                <w:szCs w:val="18"/>
              </w:rPr>
            </w:pPr>
            <w:r>
              <w:rPr>
                <w:sz w:val="18"/>
                <w:szCs w:val="18"/>
              </w:rPr>
              <w:t>Firmy z właściwych sektorów</w:t>
            </w:r>
          </w:p>
        </w:tc>
        <w:tc>
          <w:tcPr>
            <w:tcW w:w="1441" w:type="dxa"/>
          </w:tcPr>
          <w:p w:rsidR="00D238F9" w:rsidRDefault="00D238F9" w:rsidP="00ED3014">
            <w:pPr>
              <w:jc w:val="both"/>
              <w:rPr>
                <w:sz w:val="18"/>
                <w:szCs w:val="18"/>
              </w:rPr>
            </w:pPr>
            <w:r>
              <w:rPr>
                <w:sz w:val="18"/>
                <w:szCs w:val="18"/>
              </w:rPr>
              <w:t>-</w:t>
            </w:r>
          </w:p>
        </w:tc>
        <w:tc>
          <w:tcPr>
            <w:tcW w:w="1766" w:type="dxa"/>
          </w:tcPr>
          <w:p w:rsidR="00D238F9" w:rsidRPr="002B47D5" w:rsidRDefault="00D238F9" w:rsidP="00187394">
            <w:pPr>
              <w:jc w:val="left"/>
              <w:rPr>
                <w:sz w:val="18"/>
                <w:szCs w:val="18"/>
              </w:rPr>
            </w:pPr>
            <w:r>
              <w:rPr>
                <w:sz w:val="18"/>
                <w:szCs w:val="18"/>
              </w:rPr>
              <w:t>Fundusze unijne, instrumenty zwrotne, środki własne</w:t>
            </w:r>
          </w:p>
        </w:tc>
      </w:tr>
      <w:tr w:rsidR="00D238F9" w:rsidRPr="002B47D5" w:rsidTr="00ED3014">
        <w:tc>
          <w:tcPr>
            <w:tcW w:w="2042" w:type="dxa"/>
          </w:tcPr>
          <w:p w:rsidR="00D238F9" w:rsidRPr="005152A0" w:rsidRDefault="00D238F9" w:rsidP="00187394">
            <w:pPr>
              <w:jc w:val="left"/>
              <w:rPr>
                <w:sz w:val="18"/>
                <w:szCs w:val="18"/>
              </w:rPr>
            </w:pPr>
            <w:r>
              <w:rPr>
                <w:sz w:val="18"/>
                <w:szCs w:val="18"/>
              </w:rPr>
              <w:t>Poszukiwanie odpowiednich najemców infrastruktury laboratoryjnej PNT</w:t>
            </w:r>
          </w:p>
        </w:tc>
        <w:tc>
          <w:tcPr>
            <w:tcW w:w="2275" w:type="dxa"/>
          </w:tcPr>
          <w:p w:rsidR="00D238F9" w:rsidRPr="002B47D5" w:rsidRDefault="00D238F9" w:rsidP="00ED3014">
            <w:pPr>
              <w:jc w:val="both"/>
              <w:rPr>
                <w:sz w:val="18"/>
                <w:szCs w:val="18"/>
              </w:rPr>
            </w:pPr>
            <w:r>
              <w:rPr>
                <w:sz w:val="18"/>
                <w:szCs w:val="18"/>
              </w:rPr>
              <w:t>P</w:t>
            </w:r>
            <w:r w:rsidR="00715CE4">
              <w:rPr>
                <w:sz w:val="18"/>
                <w:szCs w:val="18"/>
              </w:rPr>
              <w:t>ark NT</w:t>
            </w:r>
          </w:p>
        </w:tc>
        <w:tc>
          <w:tcPr>
            <w:tcW w:w="1764" w:type="dxa"/>
          </w:tcPr>
          <w:p w:rsidR="00D238F9" w:rsidRPr="002B47D5" w:rsidRDefault="00D238F9" w:rsidP="00ED3014">
            <w:pPr>
              <w:jc w:val="both"/>
              <w:rPr>
                <w:sz w:val="18"/>
                <w:szCs w:val="18"/>
              </w:rPr>
            </w:pPr>
            <w:r>
              <w:rPr>
                <w:sz w:val="18"/>
                <w:szCs w:val="18"/>
              </w:rPr>
              <w:t>Firmy z właściwych sektorów</w:t>
            </w:r>
          </w:p>
        </w:tc>
        <w:tc>
          <w:tcPr>
            <w:tcW w:w="1441" w:type="dxa"/>
          </w:tcPr>
          <w:p w:rsidR="00D238F9" w:rsidRDefault="00D238F9" w:rsidP="00ED3014">
            <w:pPr>
              <w:jc w:val="both"/>
              <w:rPr>
                <w:sz w:val="18"/>
                <w:szCs w:val="18"/>
              </w:rPr>
            </w:pPr>
            <w:r>
              <w:rPr>
                <w:sz w:val="18"/>
                <w:szCs w:val="18"/>
              </w:rPr>
              <w:t>-</w:t>
            </w:r>
          </w:p>
        </w:tc>
        <w:tc>
          <w:tcPr>
            <w:tcW w:w="1766" w:type="dxa"/>
          </w:tcPr>
          <w:p w:rsidR="00D238F9" w:rsidRPr="002B47D5" w:rsidRDefault="00D238F9" w:rsidP="00187394">
            <w:pPr>
              <w:jc w:val="left"/>
              <w:rPr>
                <w:sz w:val="18"/>
                <w:szCs w:val="18"/>
              </w:rPr>
            </w:pPr>
            <w:r>
              <w:rPr>
                <w:sz w:val="18"/>
                <w:szCs w:val="18"/>
              </w:rPr>
              <w:t>Środki własne</w:t>
            </w:r>
          </w:p>
        </w:tc>
      </w:tr>
      <w:tr w:rsidR="00B07FCD" w:rsidRPr="002B47D5" w:rsidTr="00ED3014">
        <w:tc>
          <w:tcPr>
            <w:tcW w:w="2042" w:type="dxa"/>
          </w:tcPr>
          <w:p w:rsidR="00B07FCD" w:rsidRDefault="00B07FCD" w:rsidP="00187394">
            <w:pPr>
              <w:jc w:val="left"/>
              <w:rPr>
                <w:sz w:val="18"/>
                <w:szCs w:val="18"/>
              </w:rPr>
            </w:pPr>
            <w:r>
              <w:rPr>
                <w:sz w:val="18"/>
                <w:szCs w:val="18"/>
              </w:rPr>
              <w:t>Wypracowanie metod transferu technologii do suwalskich firm</w:t>
            </w:r>
          </w:p>
        </w:tc>
        <w:tc>
          <w:tcPr>
            <w:tcW w:w="2275" w:type="dxa"/>
          </w:tcPr>
          <w:p w:rsidR="00B07FCD" w:rsidRPr="002B47D5" w:rsidRDefault="00B07FCD" w:rsidP="00B07FCD">
            <w:pPr>
              <w:jc w:val="both"/>
              <w:rPr>
                <w:sz w:val="18"/>
                <w:szCs w:val="18"/>
              </w:rPr>
            </w:pPr>
            <w:r>
              <w:rPr>
                <w:sz w:val="18"/>
                <w:szCs w:val="18"/>
              </w:rPr>
              <w:t>Park NT</w:t>
            </w:r>
          </w:p>
        </w:tc>
        <w:tc>
          <w:tcPr>
            <w:tcW w:w="1764" w:type="dxa"/>
          </w:tcPr>
          <w:p w:rsidR="00B07FCD" w:rsidRPr="002B47D5" w:rsidRDefault="00B07FCD" w:rsidP="00B07FCD">
            <w:pPr>
              <w:jc w:val="both"/>
              <w:rPr>
                <w:sz w:val="18"/>
                <w:szCs w:val="18"/>
              </w:rPr>
            </w:pPr>
            <w:r>
              <w:rPr>
                <w:sz w:val="18"/>
                <w:szCs w:val="18"/>
              </w:rPr>
              <w:t>Firmy z właściwych sektorów</w:t>
            </w:r>
          </w:p>
        </w:tc>
        <w:tc>
          <w:tcPr>
            <w:tcW w:w="1441" w:type="dxa"/>
          </w:tcPr>
          <w:p w:rsidR="00B07FCD" w:rsidRDefault="00B07FCD" w:rsidP="00B07FCD">
            <w:pPr>
              <w:jc w:val="both"/>
              <w:rPr>
                <w:sz w:val="18"/>
                <w:szCs w:val="18"/>
              </w:rPr>
            </w:pPr>
            <w:r>
              <w:rPr>
                <w:sz w:val="18"/>
                <w:szCs w:val="18"/>
              </w:rPr>
              <w:t>-</w:t>
            </w:r>
          </w:p>
        </w:tc>
        <w:tc>
          <w:tcPr>
            <w:tcW w:w="1766" w:type="dxa"/>
          </w:tcPr>
          <w:p w:rsidR="00B07FCD" w:rsidRPr="002B47D5" w:rsidRDefault="00B07FCD" w:rsidP="00187394">
            <w:pPr>
              <w:jc w:val="left"/>
              <w:rPr>
                <w:sz w:val="18"/>
                <w:szCs w:val="18"/>
              </w:rPr>
            </w:pPr>
            <w:r>
              <w:rPr>
                <w:sz w:val="18"/>
                <w:szCs w:val="18"/>
              </w:rPr>
              <w:t>Fundusze unijne, instrumenty zwrotne, środki własne</w:t>
            </w:r>
          </w:p>
        </w:tc>
      </w:tr>
      <w:tr w:rsidR="00C60192" w:rsidRPr="002B47D5" w:rsidTr="00ED3014">
        <w:tc>
          <w:tcPr>
            <w:tcW w:w="2042" w:type="dxa"/>
          </w:tcPr>
          <w:p w:rsidR="00C60192" w:rsidRDefault="00C60192" w:rsidP="00187394">
            <w:pPr>
              <w:jc w:val="left"/>
              <w:rPr>
                <w:sz w:val="18"/>
                <w:szCs w:val="18"/>
              </w:rPr>
            </w:pPr>
            <w:r>
              <w:rPr>
                <w:sz w:val="18"/>
                <w:szCs w:val="18"/>
              </w:rPr>
              <w:t>Nawiązanie współpracy z Parkami NT Polski Wschodniej – powołanie stowarzyszenia Parków NT Polski Wschodniej</w:t>
            </w:r>
          </w:p>
        </w:tc>
        <w:tc>
          <w:tcPr>
            <w:tcW w:w="2275" w:type="dxa"/>
          </w:tcPr>
          <w:p w:rsidR="00C60192" w:rsidRDefault="00C60192" w:rsidP="00C60192">
            <w:pPr>
              <w:jc w:val="both"/>
              <w:rPr>
                <w:sz w:val="18"/>
                <w:szCs w:val="18"/>
              </w:rPr>
            </w:pPr>
            <w:r>
              <w:rPr>
                <w:sz w:val="18"/>
                <w:szCs w:val="18"/>
              </w:rPr>
              <w:t>Park NT</w:t>
            </w:r>
          </w:p>
        </w:tc>
        <w:tc>
          <w:tcPr>
            <w:tcW w:w="1764" w:type="dxa"/>
          </w:tcPr>
          <w:p w:rsidR="00C60192" w:rsidRDefault="00C60192" w:rsidP="00C60192">
            <w:pPr>
              <w:jc w:val="both"/>
              <w:rPr>
                <w:sz w:val="18"/>
                <w:szCs w:val="18"/>
              </w:rPr>
            </w:pPr>
            <w:r>
              <w:rPr>
                <w:sz w:val="18"/>
                <w:szCs w:val="18"/>
              </w:rPr>
              <w:t>Parki NT</w:t>
            </w:r>
          </w:p>
        </w:tc>
        <w:tc>
          <w:tcPr>
            <w:tcW w:w="1441" w:type="dxa"/>
          </w:tcPr>
          <w:p w:rsidR="00C60192" w:rsidRDefault="00C60192" w:rsidP="00C60192">
            <w:pPr>
              <w:jc w:val="both"/>
              <w:rPr>
                <w:sz w:val="18"/>
                <w:szCs w:val="18"/>
              </w:rPr>
            </w:pPr>
          </w:p>
        </w:tc>
        <w:tc>
          <w:tcPr>
            <w:tcW w:w="1766" w:type="dxa"/>
          </w:tcPr>
          <w:p w:rsidR="00C60192" w:rsidRDefault="00C60192" w:rsidP="00187394">
            <w:pPr>
              <w:jc w:val="left"/>
              <w:rPr>
                <w:sz w:val="18"/>
                <w:szCs w:val="18"/>
              </w:rPr>
            </w:pPr>
            <w:r>
              <w:rPr>
                <w:sz w:val="18"/>
                <w:szCs w:val="18"/>
              </w:rPr>
              <w:t>Fundusze unijne, instrumenty zwrotne, środki własne</w:t>
            </w:r>
          </w:p>
        </w:tc>
      </w:tr>
    </w:tbl>
    <w:p w:rsidR="00A7457A" w:rsidRDefault="00A7457A" w:rsidP="00545621">
      <w:pPr>
        <w:pStyle w:val="Nagwek2"/>
        <w:jc w:val="both"/>
        <w:rPr>
          <w:rFonts w:asciiTheme="minorHAnsi" w:eastAsiaTheme="minorHAnsi" w:hAnsiTheme="minorHAnsi" w:cstheme="minorBidi"/>
          <w:b w:val="0"/>
          <w:bCs w:val="0"/>
          <w:color w:val="auto"/>
          <w:sz w:val="22"/>
          <w:szCs w:val="22"/>
        </w:rPr>
      </w:pPr>
    </w:p>
    <w:p w:rsidR="00545621" w:rsidRDefault="00545621" w:rsidP="00545621">
      <w:pPr>
        <w:pStyle w:val="Nagwek2"/>
        <w:jc w:val="both"/>
      </w:pPr>
      <w:bookmarkStart w:id="36" w:name="_Toc390759487"/>
      <w:r>
        <w:t xml:space="preserve">Cel operacyjny 1.2. </w:t>
      </w:r>
      <w:r w:rsidRPr="00A81026">
        <w:t>Poprawa infrastruktury technicznej dla celów gospodarczych</w:t>
      </w:r>
      <w:bookmarkEnd w:id="36"/>
    </w:p>
    <w:p w:rsidR="00545621" w:rsidRDefault="00545621" w:rsidP="00545621">
      <w:pPr>
        <w:autoSpaceDE w:val="0"/>
        <w:autoSpaceDN w:val="0"/>
        <w:adjustRightInd w:val="0"/>
        <w:spacing w:after="0" w:line="240" w:lineRule="auto"/>
        <w:jc w:val="both"/>
        <w:rPr>
          <w:rFonts w:ascii="Calibri" w:hAnsi="Calibri" w:cs="Calibri"/>
        </w:rPr>
      </w:pPr>
    </w:p>
    <w:p w:rsidR="00545621" w:rsidRDefault="00545621" w:rsidP="00545621">
      <w:pPr>
        <w:autoSpaceDE w:val="0"/>
        <w:autoSpaceDN w:val="0"/>
        <w:adjustRightInd w:val="0"/>
        <w:spacing w:after="0" w:line="240" w:lineRule="auto"/>
        <w:jc w:val="both"/>
        <w:rPr>
          <w:rFonts w:ascii="Calibri" w:hAnsi="Calibri" w:cs="Calibri"/>
        </w:rPr>
      </w:pPr>
      <w:r>
        <w:rPr>
          <w:rFonts w:ascii="Calibri" w:hAnsi="Calibri" w:cs="Calibri"/>
        </w:rPr>
        <w:t>Dostęp do podstawowej infrastruktury technicznej jest warunkiem koniecznym rozwoju działalności gospodarczej. Rozbudowa infrastruktury technicznej powinna obejmować w pierwszej kolejności obszary przemysłowe i tereny przeznaczone pod wielorodzinne budownictwo mieszkaniowe.</w:t>
      </w:r>
    </w:p>
    <w:p w:rsidR="00D3424D" w:rsidRDefault="00D3424D" w:rsidP="00545621">
      <w:pPr>
        <w:autoSpaceDE w:val="0"/>
        <w:autoSpaceDN w:val="0"/>
        <w:adjustRightInd w:val="0"/>
        <w:spacing w:after="0" w:line="240" w:lineRule="auto"/>
        <w:jc w:val="both"/>
        <w:rPr>
          <w:rFonts w:ascii="Calibri" w:hAnsi="Calibri" w:cs="Calibri"/>
        </w:rPr>
      </w:pPr>
    </w:p>
    <w:p w:rsidR="00D238F9" w:rsidRDefault="004D7ED0" w:rsidP="004D7ED0">
      <w:pPr>
        <w:jc w:val="both"/>
      </w:pPr>
      <w:r>
        <w:t xml:space="preserve">Cel będzie wdrażany przez </w:t>
      </w:r>
      <w:r w:rsidR="00D238F9">
        <w:t>następujące kierunki działań:</w:t>
      </w:r>
    </w:p>
    <w:p w:rsidR="00D238F9" w:rsidRDefault="00D238F9" w:rsidP="00D238F9">
      <w:pPr>
        <w:pStyle w:val="Nagwek3"/>
      </w:pPr>
      <w:bookmarkStart w:id="37" w:name="_Toc390759488"/>
      <w:r>
        <w:t>1.2.1. P</w:t>
      </w:r>
      <w:r w:rsidR="00D3424D" w:rsidRPr="004D7ED0">
        <w:t>rzygotowanie terenów pod inwestycje prywatne</w:t>
      </w:r>
      <w:bookmarkEnd w:id="37"/>
      <w:r w:rsidR="004D7ED0">
        <w:t xml:space="preserve"> </w:t>
      </w:r>
    </w:p>
    <w:p w:rsidR="00AD3AA0" w:rsidRDefault="00AD3AA0" w:rsidP="000754CB">
      <w:pPr>
        <w:spacing w:after="0" w:line="240" w:lineRule="auto"/>
        <w:jc w:val="both"/>
      </w:pPr>
      <w:r>
        <w:t>W tym celu władze Miasta przewidują realizację trzech dużych zamierzeń inwestycyjnych: w sąsiedztwie SSSE, Parku NT oraz w strefie przemysłowej „Papiernia”</w:t>
      </w:r>
    </w:p>
    <w:p w:rsidR="00571468" w:rsidRDefault="00AD3AA0" w:rsidP="00FE3FC5">
      <w:pPr>
        <w:pStyle w:val="Akapitzlist"/>
        <w:numPr>
          <w:ilvl w:val="0"/>
          <w:numId w:val="16"/>
        </w:numPr>
        <w:spacing w:after="0" w:line="240" w:lineRule="auto"/>
        <w:jc w:val="both"/>
      </w:pPr>
      <w:r w:rsidRPr="001007FC">
        <w:rPr>
          <w:b/>
        </w:rPr>
        <w:t>Poprawa dostępności  terenów inwestycyjnych w sąsiedztwie SSSE w Suwałkach</w:t>
      </w:r>
      <w:r w:rsidRPr="00CF01C2">
        <w:t>.</w:t>
      </w:r>
      <w:r w:rsidRPr="00AD3AA0">
        <w:rPr>
          <w:bCs/>
        </w:rPr>
        <w:t xml:space="preserve"> Celem głównym</w:t>
      </w:r>
      <w:r w:rsidRPr="00AD3AA0">
        <w:rPr>
          <w:b/>
          <w:bCs/>
        </w:rPr>
        <w:t xml:space="preserve"> </w:t>
      </w:r>
      <w:r w:rsidRPr="00CF01C2">
        <w:t xml:space="preserve"> projektu będzie rozwój terenów inwestycyjnych w zakresie podniesienia standardu infrastruktury oraz polepszenia dostępności do informacji gospodarczej i technicznej oferowanych terenów inwestycyjnych, które mają istotne oddziaływanie na rozwój przedsiębiorczości w mieście Suwałki. Projekt obejmowałby uzbrojenie terenów inwestycyjnych o</w:t>
      </w:r>
      <w:r>
        <w:t xml:space="preserve"> powierzchni </w:t>
      </w:r>
      <w:r w:rsidR="00B57A64" w:rsidRPr="00B57A64">
        <w:t>ok. 152</w:t>
      </w:r>
      <w:r w:rsidRPr="00B57A64">
        <w:t xml:space="preserve"> ha</w:t>
      </w:r>
      <w:r w:rsidR="00B07FCD">
        <w:t xml:space="preserve"> leżących częściowo w granicach SSSE</w:t>
      </w:r>
      <w:r>
        <w:t>.</w:t>
      </w:r>
      <w:r w:rsidR="00B07FCD">
        <w:t xml:space="preserve"> W</w:t>
      </w:r>
      <w:r w:rsidRPr="00CF01C2">
        <w:t xml:space="preserve"> celu nadania im funkcji gospodarczej m.in. uzbrojenie terenu w sieć kanalizacyjno-sanitarną oraz budowę </w:t>
      </w:r>
      <w:proofErr w:type="spellStart"/>
      <w:r w:rsidRPr="00CF01C2">
        <w:t>dróg</w:t>
      </w:r>
      <w:proofErr w:type="spellEnd"/>
      <w:r w:rsidRPr="00CF01C2">
        <w:t xml:space="preserve"> niezbędnych do obsługi komunikacyjnej terenu. </w:t>
      </w:r>
      <w:r w:rsidR="00B07FCD">
        <w:t xml:space="preserve">Obecnie trwają </w:t>
      </w:r>
      <w:r w:rsidR="00396F5A">
        <w:t xml:space="preserve">intensywne </w:t>
      </w:r>
      <w:r w:rsidR="00B07FCD">
        <w:t>prace nad nowym m</w:t>
      </w:r>
      <w:r w:rsidRPr="00CF01C2">
        <w:t>iejscowy</w:t>
      </w:r>
      <w:r w:rsidR="00B07FCD">
        <w:t>m</w:t>
      </w:r>
      <w:r w:rsidRPr="00CF01C2">
        <w:t xml:space="preserve"> plan</w:t>
      </w:r>
      <w:r w:rsidR="00B07FCD">
        <w:t>em</w:t>
      </w:r>
      <w:r w:rsidRPr="00CF01C2">
        <w:t xml:space="preserve"> zagospodarowania przestrzennego</w:t>
      </w:r>
      <w:r w:rsidR="00B07FCD">
        <w:t>, który będzie przewidywał skomunikowanie tych terenów z węzłem trasy S-61 „Suwałki-Południe”</w:t>
      </w:r>
      <w:r w:rsidRPr="00CF01C2">
        <w:t xml:space="preserve">. </w:t>
      </w:r>
      <w:r w:rsidR="00571468">
        <w:t>Grunty na terenie objętym inwestycją znajdują się w posiadaniu osób p</w:t>
      </w:r>
      <w:r w:rsidR="001007FC">
        <w:t>rywatnych, Miasta Suwałki, Skarbu Państwa</w:t>
      </w:r>
      <w:r w:rsidR="009C1F39">
        <w:t xml:space="preserve"> oraz SSSE.</w:t>
      </w:r>
    </w:p>
    <w:p w:rsidR="00571468" w:rsidRDefault="00571468" w:rsidP="00571468">
      <w:pPr>
        <w:pStyle w:val="Akapitzlist"/>
        <w:spacing w:after="0" w:line="240" w:lineRule="auto"/>
        <w:ind w:left="765"/>
        <w:jc w:val="both"/>
      </w:pPr>
    </w:p>
    <w:p w:rsidR="00AD3AA0" w:rsidRDefault="00AD3AA0" w:rsidP="00571468">
      <w:pPr>
        <w:pStyle w:val="Akapitzlist"/>
        <w:spacing w:after="0" w:line="240" w:lineRule="auto"/>
        <w:ind w:left="765"/>
        <w:jc w:val="both"/>
      </w:pPr>
      <w:r w:rsidRPr="00CB386C">
        <w:t xml:space="preserve">Projekt zostanie zrealizowany w partnerstwie z SSSE. Uzupełnieniem projektu będzie kampania promocyjna terenów prowadzona wspólnie z SSSE. Wartość szacunkowa  </w:t>
      </w:r>
      <w:r w:rsidR="00CB386C" w:rsidRPr="00CB386C">
        <w:t>projektu to ok. 49</w:t>
      </w:r>
      <w:r w:rsidR="00CB386C">
        <w:t>.814</w:t>
      </w:r>
      <w:r w:rsidR="00CB386C" w:rsidRPr="00CB386C">
        <w:t>.73</w:t>
      </w:r>
      <w:r w:rsidR="00CB386C">
        <w:t>9</w:t>
      </w:r>
      <w:r w:rsidRPr="00CB386C">
        <w:t xml:space="preserve"> zł.</w:t>
      </w:r>
    </w:p>
    <w:p w:rsidR="00571468" w:rsidRDefault="00571468" w:rsidP="00A221AB">
      <w:pPr>
        <w:pStyle w:val="Akapitzlist"/>
        <w:spacing w:after="0" w:line="240" w:lineRule="auto"/>
        <w:ind w:left="765"/>
        <w:jc w:val="both"/>
      </w:pPr>
    </w:p>
    <w:p w:rsidR="00A221AB" w:rsidRDefault="00A221AB" w:rsidP="00A221AB">
      <w:pPr>
        <w:pStyle w:val="Akapitzlist"/>
        <w:spacing w:after="0" w:line="240" w:lineRule="auto"/>
        <w:ind w:left="765"/>
        <w:jc w:val="both"/>
      </w:pPr>
      <w:r>
        <w:t>Projekt będzie</w:t>
      </w:r>
      <w:r w:rsidR="00CB386C">
        <w:t xml:space="preserve"> umożliwiał rozszerzenie granic </w:t>
      </w:r>
      <w:r>
        <w:t>SSSE o nowe tereny, które są własnością strefy ale nie leżą w granicach SSSE.</w:t>
      </w:r>
    </w:p>
    <w:p w:rsidR="00EE5BB1" w:rsidRPr="001007FC" w:rsidRDefault="00EE5BB1" w:rsidP="001007FC">
      <w:pPr>
        <w:spacing w:after="0" w:line="240" w:lineRule="auto"/>
        <w:jc w:val="both"/>
        <w:rPr>
          <w:b/>
        </w:rPr>
      </w:pPr>
    </w:p>
    <w:p w:rsidR="005A79AB" w:rsidRDefault="00B07FCD" w:rsidP="000754CB">
      <w:pPr>
        <w:pStyle w:val="Akapitzlist"/>
        <w:spacing w:after="0" w:line="240" w:lineRule="auto"/>
        <w:jc w:val="both"/>
        <w:rPr>
          <w:b/>
        </w:rPr>
      </w:pPr>
      <w:r>
        <w:rPr>
          <w:b/>
        </w:rPr>
        <w:t xml:space="preserve">Tabela nr 4 </w:t>
      </w:r>
      <w:r>
        <w:t>„</w:t>
      </w:r>
      <w:r w:rsidRPr="00B07FCD">
        <w:t xml:space="preserve">Tereny </w:t>
      </w:r>
      <w:r w:rsidR="00396F5A">
        <w:t xml:space="preserve">inwestycyjne </w:t>
      </w:r>
      <w:r w:rsidRPr="00B07FCD">
        <w:t>w sąsiedztwie SSSE</w:t>
      </w:r>
      <w:r>
        <w:t>”.</w:t>
      </w:r>
    </w:p>
    <w:tbl>
      <w:tblPr>
        <w:tblStyle w:val="Tabela-Siatka"/>
        <w:tblpPr w:leftFromText="141" w:rightFromText="141" w:vertAnchor="text" w:horzAnchor="margin" w:tblpY="117"/>
        <w:tblW w:w="9773" w:type="dxa"/>
        <w:tblLook w:val="04A0"/>
      </w:tblPr>
      <w:tblGrid>
        <w:gridCol w:w="3281"/>
        <w:gridCol w:w="3303"/>
        <w:gridCol w:w="3189"/>
      </w:tblGrid>
      <w:tr w:rsidR="00847211" w:rsidTr="00847211">
        <w:trPr>
          <w:trHeight w:val="341"/>
        </w:trPr>
        <w:tc>
          <w:tcPr>
            <w:tcW w:w="3281" w:type="dxa"/>
            <w:shd w:val="clear" w:color="auto" w:fill="548DD4" w:themeFill="text2" w:themeFillTint="99"/>
          </w:tcPr>
          <w:p w:rsidR="00847211" w:rsidRPr="00E75360" w:rsidRDefault="00847211" w:rsidP="00847211">
            <w:pPr>
              <w:pStyle w:val="Akapitzlist"/>
              <w:ind w:left="0"/>
              <w:jc w:val="left"/>
              <w:rPr>
                <w:color w:val="FFFFFF" w:themeColor="background1"/>
                <w:sz w:val="20"/>
                <w:szCs w:val="20"/>
              </w:rPr>
            </w:pPr>
            <w:r w:rsidRPr="00E75360">
              <w:rPr>
                <w:color w:val="FFFFFF" w:themeColor="background1"/>
                <w:sz w:val="20"/>
                <w:szCs w:val="20"/>
              </w:rPr>
              <w:t>Etap</w:t>
            </w:r>
          </w:p>
        </w:tc>
        <w:tc>
          <w:tcPr>
            <w:tcW w:w="3303" w:type="dxa"/>
            <w:shd w:val="clear" w:color="auto" w:fill="548DD4" w:themeFill="text2" w:themeFillTint="99"/>
          </w:tcPr>
          <w:p w:rsidR="00847211" w:rsidRPr="00E75360" w:rsidRDefault="00847211" w:rsidP="00847211">
            <w:pPr>
              <w:pStyle w:val="Akapitzlist"/>
              <w:ind w:left="0"/>
              <w:jc w:val="left"/>
              <w:rPr>
                <w:color w:val="FFFFFF" w:themeColor="background1"/>
                <w:sz w:val="20"/>
                <w:szCs w:val="20"/>
              </w:rPr>
            </w:pPr>
            <w:r w:rsidRPr="00E75360">
              <w:rPr>
                <w:color w:val="FFFFFF" w:themeColor="background1"/>
                <w:sz w:val="20"/>
                <w:szCs w:val="20"/>
              </w:rPr>
              <w:t>Zakres</w:t>
            </w:r>
          </w:p>
        </w:tc>
        <w:tc>
          <w:tcPr>
            <w:tcW w:w="3189" w:type="dxa"/>
            <w:shd w:val="clear" w:color="auto" w:fill="548DD4" w:themeFill="text2" w:themeFillTint="99"/>
          </w:tcPr>
          <w:p w:rsidR="00847211" w:rsidRPr="00E75360" w:rsidRDefault="00847211" w:rsidP="00847211">
            <w:pPr>
              <w:pStyle w:val="Akapitzlist"/>
              <w:ind w:left="0"/>
              <w:jc w:val="left"/>
              <w:rPr>
                <w:color w:val="FFFFFF" w:themeColor="background1"/>
                <w:sz w:val="20"/>
                <w:szCs w:val="20"/>
              </w:rPr>
            </w:pPr>
            <w:r w:rsidRPr="00E75360">
              <w:rPr>
                <w:color w:val="FFFFFF" w:themeColor="background1"/>
                <w:sz w:val="20"/>
                <w:szCs w:val="20"/>
              </w:rPr>
              <w:t>Kwota w zł</w:t>
            </w:r>
          </w:p>
        </w:tc>
      </w:tr>
      <w:tr w:rsidR="00847211" w:rsidTr="00847211">
        <w:trPr>
          <w:trHeight w:val="1762"/>
        </w:trPr>
        <w:tc>
          <w:tcPr>
            <w:tcW w:w="3281" w:type="dxa"/>
          </w:tcPr>
          <w:p w:rsidR="00847211" w:rsidRPr="00E75360" w:rsidRDefault="00847211" w:rsidP="00847211">
            <w:pPr>
              <w:pStyle w:val="Akapitzlist"/>
              <w:ind w:left="0"/>
              <w:jc w:val="both"/>
              <w:rPr>
                <w:sz w:val="18"/>
                <w:szCs w:val="18"/>
              </w:rPr>
            </w:pPr>
            <w:r>
              <w:rPr>
                <w:sz w:val="18"/>
                <w:szCs w:val="18"/>
              </w:rPr>
              <w:t>Etap I B</w:t>
            </w:r>
            <w:r w:rsidRPr="00E75360">
              <w:rPr>
                <w:sz w:val="18"/>
                <w:szCs w:val="18"/>
              </w:rPr>
              <w:t xml:space="preserve">udowa </w:t>
            </w:r>
            <w:proofErr w:type="spellStart"/>
            <w:r w:rsidRPr="00E75360">
              <w:rPr>
                <w:sz w:val="18"/>
                <w:szCs w:val="18"/>
              </w:rPr>
              <w:t>dróg</w:t>
            </w:r>
            <w:proofErr w:type="spellEnd"/>
            <w:r w:rsidRPr="00E75360">
              <w:rPr>
                <w:sz w:val="18"/>
                <w:szCs w:val="18"/>
              </w:rPr>
              <w:t xml:space="preserve"> pomiędzy ul. Brylantową a Wojska Polskiego II wraz </w:t>
            </w:r>
            <w:r>
              <w:rPr>
                <w:sz w:val="18"/>
                <w:szCs w:val="18"/>
              </w:rPr>
              <w:t>z przedłużeniem ul. Brylantowej</w:t>
            </w:r>
            <w:r w:rsidRPr="00E75360">
              <w:rPr>
                <w:sz w:val="18"/>
                <w:szCs w:val="18"/>
              </w:rPr>
              <w:t xml:space="preserve">  </w:t>
            </w:r>
          </w:p>
        </w:tc>
        <w:tc>
          <w:tcPr>
            <w:tcW w:w="3303" w:type="dxa"/>
          </w:tcPr>
          <w:p w:rsidR="00847211" w:rsidRPr="00E75360" w:rsidRDefault="00847211" w:rsidP="00847211">
            <w:pPr>
              <w:pStyle w:val="Akapitzlist"/>
              <w:ind w:left="0"/>
              <w:jc w:val="both"/>
              <w:rPr>
                <w:sz w:val="18"/>
                <w:szCs w:val="18"/>
              </w:rPr>
            </w:pPr>
            <w:r>
              <w:rPr>
                <w:sz w:val="18"/>
                <w:szCs w:val="18"/>
              </w:rPr>
              <w:t>W</w:t>
            </w:r>
            <w:r w:rsidRPr="00E75360">
              <w:rPr>
                <w:sz w:val="18"/>
                <w:szCs w:val="18"/>
              </w:rPr>
              <w:t>ykonanie jezdni wraz z oświetleniem ulicznym, sieci wodociągowych, sanitarnych i desz</w:t>
            </w:r>
            <w:r w:rsidR="00343795">
              <w:rPr>
                <w:sz w:val="18"/>
                <w:szCs w:val="18"/>
              </w:rPr>
              <w:t>czowej, w</w:t>
            </w:r>
            <w:r>
              <w:rPr>
                <w:sz w:val="18"/>
                <w:szCs w:val="18"/>
              </w:rPr>
              <w:t>ykup gruntu</w:t>
            </w:r>
            <w:r w:rsidR="00343795">
              <w:rPr>
                <w:sz w:val="18"/>
                <w:szCs w:val="18"/>
              </w:rPr>
              <w:t>.</w:t>
            </w:r>
          </w:p>
        </w:tc>
        <w:tc>
          <w:tcPr>
            <w:tcW w:w="3189" w:type="dxa"/>
          </w:tcPr>
          <w:p w:rsidR="00847211" w:rsidRPr="00B57A64" w:rsidRDefault="00CB386C" w:rsidP="00847211">
            <w:pPr>
              <w:pStyle w:val="Akapitzlist"/>
              <w:ind w:left="0"/>
              <w:jc w:val="both"/>
              <w:rPr>
                <w:sz w:val="18"/>
                <w:szCs w:val="18"/>
              </w:rPr>
            </w:pPr>
            <w:r>
              <w:rPr>
                <w:sz w:val="18"/>
                <w:szCs w:val="18"/>
              </w:rPr>
              <w:t>24.455.517</w:t>
            </w:r>
          </w:p>
        </w:tc>
      </w:tr>
      <w:tr w:rsidR="00847211" w:rsidTr="00847211">
        <w:trPr>
          <w:trHeight w:val="281"/>
        </w:trPr>
        <w:tc>
          <w:tcPr>
            <w:tcW w:w="3281" w:type="dxa"/>
          </w:tcPr>
          <w:p w:rsidR="00847211" w:rsidRPr="00E75360" w:rsidRDefault="00847211" w:rsidP="00847211">
            <w:pPr>
              <w:pStyle w:val="Akapitzlist"/>
              <w:ind w:left="0"/>
              <w:jc w:val="both"/>
              <w:rPr>
                <w:sz w:val="18"/>
                <w:szCs w:val="18"/>
              </w:rPr>
            </w:pPr>
            <w:r>
              <w:rPr>
                <w:sz w:val="18"/>
                <w:szCs w:val="18"/>
              </w:rPr>
              <w:t>Etap II P</w:t>
            </w:r>
            <w:r w:rsidRPr="00E75360">
              <w:rPr>
                <w:sz w:val="18"/>
                <w:szCs w:val="18"/>
              </w:rPr>
              <w:t>rzebudowa ul. Wojska Polskiego II z ulicami przyległymi w Suwałkach</w:t>
            </w:r>
          </w:p>
        </w:tc>
        <w:tc>
          <w:tcPr>
            <w:tcW w:w="3303" w:type="dxa"/>
          </w:tcPr>
          <w:p w:rsidR="00847211" w:rsidRPr="00E75360" w:rsidRDefault="00847211" w:rsidP="00847211">
            <w:pPr>
              <w:pStyle w:val="Akapitzlist"/>
              <w:ind w:left="0"/>
              <w:jc w:val="both"/>
              <w:rPr>
                <w:sz w:val="18"/>
                <w:szCs w:val="18"/>
              </w:rPr>
            </w:pPr>
            <w:r>
              <w:rPr>
                <w:sz w:val="18"/>
                <w:szCs w:val="18"/>
              </w:rPr>
              <w:t>W</w:t>
            </w:r>
            <w:r w:rsidRPr="00E75360">
              <w:rPr>
                <w:sz w:val="18"/>
                <w:szCs w:val="18"/>
              </w:rPr>
              <w:t>ykonanie jezdni wraz z oświetleniem ulicznym, sieci wodociągowych, sanitarny</w:t>
            </w:r>
            <w:r>
              <w:rPr>
                <w:sz w:val="18"/>
                <w:szCs w:val="18"/>
              </w:rPr>
              <w:t>ch i deszczowej. Ponadto uzbrojenie ulicy Dubowo w sie</w:t>
            </w:r>
            <w:r w:rsidRPr="00E75360">
              <w:rPr>
                <w:sz w:val="18"/>
                <w:szCs w:val="18"/>
              </w:rPr>
              <w:t>ć kanaliza</w:t>
            </w:r>
            <w:r w:rsidR="00343795">
              <w:rPr>
                <w:sz w:val="18"/>
                <w:szCs w:val="18"/>
              </w:rPr>
              <w:t>cji sanitarnej i wodociąg RBE, w</w:t>
            </w:r>
            <w:r w:rsidRPr="00E75360">
              <w:rPr>
                <w:sz w:val="18"/>
                <w:szCs w:val="18"/>
              </w:rPr>
              <w:t>yku</w:t>
            </w:r>
            <w:r w:rsidR="00343795">
              <w:rPr>
                <w:sz w:val="18"/>
                <w:szCs w:val="18"/>
              </w:rPr>
              <w:t>p gruntu</w:t>
            </w:r>
            <w:r>
              <w:rPr>
                <w:sz w:val="18"/>
                <w:szCs w:val="18"/>
              </w:rPr>
              <w:t>.</w:t>
            </w:r>
          </w:p>
        </w:tc>
        <w:tc>
          <w:tcPr>
            <w:tcW w:w="3189" w:type="dxa"/>
          </w:tcPr>
          <w:p w:rsidR="00847211" w:rsidRPr="00CB386C" w:rsidRDefault="00CB386C" w:rsidP="00847211">
            <w:pPr>
              <w:pStyle w:val="Akapitzlist"/>
              <w:ind w:left="0"/>
              <w:jc w:val="both"/>
              <w:rPr>
                <w:sz w:val="18"/>
                <w:szCs w:val="18"/>
              </w:rPr>
            </w:pPr>
            <w:r>
              <w:rPr>
                <w:sz w:val="18"/>
                <w:szCs w:val="18"/>
              </w:rPr>
              <w:t>17.036.919</w:t>
            </w:r>
          </w:p>
        </w:tc>
      </w:tr>
      <w:tr w:rsidR="00847211" w:rsidTr="00847211">
        <w:trPr>
          <w:trHeight w:val="301"/>
        </w:trPr>
        <w:tc>
          <w:tcPr>
            <w:tcW w:w="3281" w:type="dxa"/>
          </w:tcPr>
          <w:p w:rsidR="00847211" w:rsidRPr="00E75360" w:rsidRDefault="00847211" w:rsidP="00847211">
            <w:pPr>
              <w:pStyle w:val="Akapitzlist"/>
              <w:ind w:left="0"/>
              <w:jc w:val="both"/>
              <w:rPr>
                <w:sz w:val="18"/>
                <w:szCs w:val="18"/>
              </w:rPr>
            </w:pPr>
            <w:r>
              <w:rPr>
                <w:sz w:val="18"/>
                <w:szCs w:val="18"/>
              </w:rPr>
              <w:t>Etap III B</w:t>
            </w:r>
            <w:r w:rsidRPr="00E75360">
              <w:rPr>
                <w:sz w:val="18"/>
                <w:szCs w:val="18"/>
              </w:rPr>
              <w:t>udowa drogi od ul. Wojska Polskiego II do Brylantowej w Suwałkach</w:t>
            </w:r>
          </w:p>
        </w:tc>
        <w:tc>
          <w:tcPr>
            <w:tcW w:w="3303" w:type="dxa"/>
          </w:tcPr>
          <w:p w:rsidR="00847211" w:rsidRPr="00E75360" w:rsidRDefault="00847211" w:rsidP="00847211">
            <w:pPr>
              <w:pStyle w:val="Akapitzlist"/>
              <w:ind w:left="0"/>
              <w:jc w:val="both"/>
              <w:rPr>
                <w:sz w:val="18"/>
                <w:szCs w:val="18"/>
              </w:rPr>
            </w:pPr>
            <w:r>
              <w:rPr>
                <w:sz w:val="18"/>
                <w:szCs w:val="18"/>
              </w:rPr>
              <w:t>W</w:t>
            </w:r>
            <w:r w:rsidRPr="00E75360">
              <w:rPr>
                <w:sz w:val="18"/>
                <w:szCs w:val="18"/>
              </w:rPr>
              <w:t>ykonanie jezdni wraz z oświetleniem ulicznym, sieci wodociągow</w:t>
            </w:r>
            <w:r w:rsidR="00343795">
              <w:rPr>
                <w:sz w:val="18"/>
                <w:szCs w:val="18"/>
              </w:rPr>
              <w:t>ych, sanitarnych i deszczowej, w</w:t>
            </w:r>
            <w:r w:rsidRPr="00E75360">
              <w:rPr>
                <w:sz w:val="18"/>
                <w:szCs w:val="18"/>
              </w:rPr>
              <w:t>yku</w:t>
            </w:r>
            <w:r w:rsidR="00343795">
              <w:rPr>
                <w:sz w:val="18"/>
                <w:szCs w:val="18"/>
              </w:rPr>
              <w:t>p gruntu</w:t>
            </w:r>
            <w:r>
              <w:rPr>
                <w:sz w:val="18"/>
                <w:szCs w:val="18"/>
              </w:rPr>
              <w:t>.</w:t>
            </w:r>
          </w:p>
        </w:tc>
        <w:tc>
          <w:tcPr>
            <w:tcW w:w="3189" w:type="dxa"/>
          </w:tcPr>
          <w:p w:rsidR="00847211" w:rsidRPr="00CB386C" w:rsidRDefault="00CB386C" w:rsidP="00CB386C">
            <w:pPr>
              <w:pStyle w:val="Akapitzlist"/>
              <w:ind w:left="0"/>
              <w:jc w:val="both"/>
              <w:rPr>
                <w:sz w:val="18"/>
                <w:szCs w:val="18"/>
              </w:rPr>
            </w:pPr>
            <w:r>
              <w:rPr>
                <w:sz w:val="18"/>
                <w:szCs w:val="18"/>
              </w:rPr>
              <w:t>8.172.301</w:t>
            </w:r>
          </w:p>
        </w:tc>
      </w:tr>
      <w:tr w:rsidR="00847211" w:rsidTr="00847211">
        <w:trPr>
          <w:trHeight w:val="301"/>
        </w:trPr>
        <w:tc>
          <w:tcPr>
            <w:tcW w:w="3281" w:type="dxa"/>
          </w:tcPr>
          <w:p w:rsidR="00847211" w:rsidRDefault="00847211" w:rsidP="00847211">
            <w:pPr>
              <w:pStyle w:val="Akapitzlist"/>
              <w:ind w:left="0"/>
              <w:jc w:val="both"/>
              <w:rPr>
                <w:sz w:val="18"/>
                <w:szCs w:val="18"/>
              </w:rPr>
            </w:pPr>
            <w:r w:rsidRPr="00E75360">
              <w:rPr>
                <w:sz w:val="18"/>
                <w:szCs w:val="18"/>
              </w:rPr>
              <w:t>Kampania promocyjna terenów inwestycyjnych</w:t>
            </w:r>
          </w:p>
        </w:tc>
        <w:tc>
          <w:tcPr>
            <w:tcW w:w="3303" w:type="dxa"/>
          </w:tcPr>
          <w:p w:rsidR="00847211" w:rsidRDefault="00847211" w:rsidP="00847211">
            <w:pPr>
              <w:pStyle w:val="Akapitzlist"/>
              <w:ind w:left="0"/>
              <w:jc w:val="both"/>
              <w:rPr>
                <w:sz w:val="18"/>
                <w:szCs w:val="18"/>
              </w:rPr>
            </w:pPr>
            <w:r>
              <w:rPr>
                <w:sz w:val="18"/>
                <w:szCs w:val="18"/>
              </w:rPr>
              <w:t>P</w:t>
            </w:r>
            <w:r w:rsidRPr="00E75360">
              <w:rPr>
                <w:sz w:val="18"/>
                <w:szCs w:val="18"/>
              </w:rPr>
              <w:t>rzeprowadzenie m.in. kampanii telewizyjnej, która będzie obejmować produkcję oraz emisję materiału promocyjnego w TV, następnie kampanii internetowej,  wykonanie strony internetowej z wyszukiwarką ofert inwestycyjnych, udział w targach inwestycyjnych, wykonanie materiałów promocyjnych, zamieszczenie reklam i ogłoszeń w czasopismach branżowych</w:t>
            </w:r>
          </w:p>
        </w:tc>
        <w:tc>
          <w:tcPr>
            <w:tcW w:w="3189" w:type="dxa"/>
          </w:tcPr>
          <w:p w:rsidR="00847211" w:rsidRPr="00226058" w:rsidRDefault="00226058" w:rsidP="00847211">
            <w:pPr>
              <w:pStyle w:val="Akapitzlist"/>
              <w:ind w:left="0"/>
              <w:jc w:val="both"/>
              <w:rPr>
                <w:sz w:val="18"/>
                <w:szCs w:val="18"/>
                <w:highlight w:val="yellow"/>
              </w:rPr>
            </w:pPr>
            <w:r w:rsidRPr="00226058">
              <w:rPr>
                <w:sz w:val="18"/>
                <w:szCs w:val="18"/>
              </w:rPr>
              <w:t>150.000</w:t>
            </w:r>
          </w:p>
        </w:tc>
      </w:tr>
    </w:tbl>
    <w:p w:rsidR="00B07FCD" w:rsidRPr="00226058" w:rsidRDefault="00B07FCD" w:rsidP="00571468">
      <w:pPr>
        <w:spacing w:after="0" w:line="240" w:lineRule="auto"/>
        <w:jc w:val="both"/>
        <w:rPr>
          <w:b/>
        </w:rPr>
      </w:pPr>
    </w:p>
    <w:p w:rsidR="00AD3AA0" w:rsidRDefault="00AD3AA0" w:rsidP="00FE3FC5">
      <w:pPr>
        <w:pStyle w:val="Akapitzlist"/>
        <w:numPr>
          <w:ilvl w:val="0"/>
          <w:numId w:val="16"/>
        </w:numPr>
        <w:spacing w:after="0" w:line="240" w:lineRule="auto"/>
        <w:jc w:val="both"/>
      </w:pPr>
      <w:r w:rsidRPr="00226058">
        <w:rPr>
          <w:b/>
        </w:rPr>
        <w:t>Poprawa dostępności  terenów inw</w:t>
      </w:r>
      <w:r w:rsidR="00C20DB0" w:rsidRPr="00226058">
        <w:rPr>
          <w:b/>
        </w:rPr>
        <w:t>estycyjnych w sąsiedztwie Parku NT</w:t>
      </w:r>
      <w:r w:rsidRPr="00226058">
        <w:rPr>
          <w:b/>
        </w:rPr>
        <w:t xml:space="preserve"> w Suwałkach.</w:t>
      </w:r>
      <w:r w:rsidRPr="00226058">
        <w:rPr>
          <w:b/>
          <w:sz w:val="20"/>
          <w:szCs w:val="20"/>
        </w:rPr>
        <w:t xml:space="preserve"> </w:t>
      </w:r>
      <w:r w:rsidRPr="00226058">
        <w:rPr>
          <w:b/>
        </w:rPr>
        <w:t>Realizacja projektu przyczyni się do  wzmacniania atrakcyjn</w:t>
      </w:r>
      <w:r w:rsidR="00C20DB0" w:rsidRPr="00226058">
        <w:rPr>
          <w:b/>
        </w:rPr>
        <w:t>ości oferty inwestycyjnej Parku</w:t>
      </w:r>
      <w:r w:rsidRPr="00CF01C2">
        <w:t xml:space="preserve"> poprzez uzbrojenie terenów inwestycyjnych w sieci kanalizacyjno-sanitarne oraz budowę </w:t>
      </w:r>
      <w:proofErr w:type="spellStart"/>
      <w:r w:rsidRPr="00CF01C2">
        <w:t>dróg</w:t>
      </w:r>
      <w:proofErr w:type="spellEnd"/>
      <w:r w:rsidRPr="00CF01C2">
        <w:t xml:space="preserve"> niezbędnych do obsługi komunikacyjnej terenu. Wzrost liczby kompleksowo uzbrojonych terenów inwestycyjnych przyczyni się do wzrostu inwestycji nie tylko w samym mieście Suwałki ale również</w:t>
      </w:r>
      <w:r w:rsidR="009C1F39">
        <w:t xml:space="preserve"> i regionie. Projekt będzie obejmował</w:t>
      </w:r>
      <w:r w:rsidRPr="00CF01C2">
        <w:t xml:space="preserve"> uzbrojenie dwóch terenów o powierzchni ok. 7ha łącznie zlokalizowanych w bliskim sąsiedztwie PNT PW. Przedmiotowe tereny posiadają miejscowy plan zagospodarowania przestrzennego. Projekt zostanie zrealizowany w partnerstwie z PNT PW. Uzupełnieniem projektu będzie kampania promocyjna terenów prowadzona wspólnie z PNT PW. </w:t>
      </w:r>
      <w:r>
        <w:t>Wartość projektu to ok. 3.000.000 zł.</w:t>
      </w:r>
    </w:p>
    <w:p w:rsidR="00AD3AA0" w:rsidRDefault="00AD3AA0" w:rsidP="000754CB">
      <w:pPr>
        <w:pStyle w:val="Akapitzlist"/>
        <w:spacing w:after="0" w:line="240" w:lineRule="auto"/>
        <w:jc w:val="both"/>
      </w:pPr>
    </w:p>
    <w:p w:rsidR="00AD3AA0" w:rsidRPr="00AD3AA0" w:rsidRDefault="00AD3AA0" w:rsidP="000754CB">
      <w:pPr>
        <w:pStyle w:val="Akapitzlist"/>
        <w:spacing w:after="0" w:line="240" w:lineRule="auto"/>
        <w:jc w:val="both"/>
      </w:pPr>
      <w:r w:rsidRPr="00AD3AA0">
        <w:t xml:space="preserve">Realizacja projektu obejmuje </w:t>
      </w:r>
      <w:r w:rsidR="00B41C36">
        <w:t xml:space="preserve">m.in. </w:t>
      </w:r>
      <w:r w:rsidRPr="00AD3AA0">
        <w:t>następujące zadania:</w:t>
      </w:r>
    </w:p>
    <w:p w:rsidR="00AD3AA0" w:rsidRDefault="00AD3AA0" w:rsidP="00FE3FC5">
      <w:pPr>
        <w:pStyle w:val="Akapitzlist"/>
        <w:numPr>
          <w:ilvl w:val="0"/>
          <w:numId w:val="18"/>
        </w:numPr>
        <w:spacing w:after="0" w:line="240" w:lineRule="auto"/>
        <w:jc w:val="both"/>
      </w:pPr>
      <w:r w:rsidRPr="00AD3AA0">
        <w:t>Budowa sięgacza ul. Walerego Romana w Suwałkach – w ramach zadania planowane jest wykonanie jezdni wraz z oświetleniem ulicznym, sieci wodociągowych, sanitarnych i deszczowej. Wykup gruntu pod drogę o powierzchni 4400m2, teren niezbędny wzdłuż ul. W. Romana - 2100 m</w:t>
      </w:r>
      <w:r w:rsidRPr="00AD3AA0">
        <w:rPr>
          <w:vertAlign w:val="superscript"/>
        </w:rPr>
        <w:t>2</w:t>
      </w:r>
      <w:r w:rsidR="00B41C36">
        <w:t>.</w:t>
      </w:r>
    </w:p>
    <w:p w:rsidR="00AD3AA0" w:rsidRDefault="00AD3AA0" w:rsidP="000754CB">
      <w:pPr>
        <w:spacing w:after="0" w:line="240" w:lineRule="auto"/>
        <w:jc w:val="both"/>
      </w:pPr>
    </w:p>
    <w:p w:rsidR="0038175F" w:rsidRPr="001007FC" w:rsidRDefault="005A79AB" w:rsidP="00FE3FC5">
      <w:pPr>
        <w:pStyle w:val="Akapitzlist"/>
        <w:numPr>
          <w:ilvl w:val="0"/>
          <w:numId w:val="16"/>
        </w:numPr>
        <w:spacing w:after="0" w:line="240" w:lineRule="auto"/>
        <w:jc w:val="both"/>
        <w:rPr>
          <w:b/>
        </w:rPr>
      </w:pPr>
      <w:r w:rsidRPr="001007FC">
        <w:rPr>
          <w:b/>
        </w:rPr>
        <w:t>Budowa infrastruktury strefy przemysłowej Papiernia w Suwałkach (III i IV Etap).</w:t>
      </w:r>
    </w:p>
    <w:p w:rsidR="00A221AB" w:rsidRDefault="00A221AB" w:rsidP="000754CB">
      <w:pPr>
        <w:pStyle w:val="Akapitzlist"/>
        <w:spacing w:after="0" w:line="240" w:lineRule="auto"/>
        <w:ind w:left="765"/>
        <w:jc w:val="both"/>
      </w:pPr>
    </w:p>
    <w:p w:rsidR="005E51F7" w:rsidRDefault="00790B71" w:rsidP="000754CB">
      <w:pPr>
        <w:pStyle w:val="Akapitzlist"/>
        <w:spacing w:after="0" w:line="240" w:lineRule="auto"/>
        <w:ind w:left="765"/>
        <w:jc w:val="both"/>
      </w:pPr>
      <w:r>
        <w:t xml:space="preserve">Miasto Suwałki od kilku lat prowadzi konsekwentne działania inwestycyjne w rejonie strefy przemysłowej </w:t>
      </w:r>
      <w:r w:rsidR="00A221AB">
        <w:t>„</w:t>
      </w:r>
      <w:r>
        <w:t>Papiernia</w:t>
      </w:r>
      <w:r w:rsidR="00A221AB">
        <w:t>”</w:t>
      </w:r>
      <w:r>
        <w:t xml:space="preserve"> finansowane ze środków unijnych w ramach Programu Współpracy </w:t>
      </w:r>
      <w:proofErr w:type="spellStart"/>
      <w:r>
        <w:t>Transgranicznej</w:t>
      </w:r>
      <w:proofErr w:type="spellEnd"/>
      <w:r>
        <w:t xml:space="preserve"> Litwa-Polska 2007-2013. </w:t>
      </w:r>
    </w:p>
    <w:p w:rsidR="005E51F7" w:rsidRDefault="005E51F7" w:rsidP="000754CB">
      <w:pPr>
        <w:pStyle w:val="Akapitzlist"/>
        <w:spacing w:after="0" w:line="240" w:lineRule="auto"/>
        <w:ind w:left="765"/>
        <w:jc w:val="both"/>
      </w:pPr>
    </w:p>
    <w:p w:rsidR="005A79AB" w:rsidRDefault="0038175F" w:rsidP="000754CB">
      <w:pPr>
        <w:pStyle w:val="Akapitzlist"/>
        <w:spacing w:after="0" w:line="240" w:lineRule="auto"/>
        <w:ind w:left="765"/>
        <w:jc w:val="both"/>
      </w:pPr>
      <w:r w:rsidRPr="00A221AB">
        <w:rPr>
          <w:b/>
        </w:rPr>
        <w:t xml:space="preserve">W </w:t>
      </w:r>
      <w:r w:rsidR="00790B71" w:rsidRPr="00A221AB">
        <w:rPr>
          <w:b/>
        </w:rPr>
        <w:t>etapie</w:t>
      </w:r>
      <w:r w:rsidRPr="00A221AB">
        <w:rPr>
          <w:b/>
        </w:rPr>
        <w:t xml:space="preserve"> I</w:t>
      </w:r>
      <w:r w:rsidR="00790B71">
        <w:t xml:space="preserve"> </w:t>
      </w:r>
      <w:r w:rsidR="005E51F7">
        <w:t xml:space="preserve">realizowanym w okresie sierpień 2009 – październik 2011 </w:t>
      </w:r>
      <w:r w:rsidR="00790B71">
        <w:t>dokonano przedłużenia ul. Leśnej do ul. Buczka</w:t>
      </w:r>
      <w:r w:rsidR="005E51F7" w:rsidRPr="005E51F7">
        <w:t xml:space="preserve"> poprzez budowę jezdni asfaltowej i zatok autobusowych bez chodników, wraz z budową kanalizacji sanitarnej, sieci wodociągowej, kanalizacji deszczowej, budowę oświetlenia ulicy. </w:t>
      </w:r>
      <w:r w:rsidR="005E51F7">
        <w:t>Wybudowano kanalizację sanitarną, sieci wodociągowe oraz kanalizację deszczową</w:t>
      </w:r>
      <w:r w:rsidR="005E51F7" w:rsidRPr="005E51F7">
        <w:t xml:space="preserve"> w ulicach dojazdowych leżących w kwartale pomiędzy ul. Leśną i Hubala</w:t>
      </w:r>
      <w:r w:rsidR="005E51F7">
        <w:t xml:space="preserve"> oraz w </w:t>
      </w:r>
      <w:r w:rsidR="005E51F7" w:rsidRPr="005E51F7">
        <w:t>ul. Poznańskiej na odcinku od ul. Leśnej do ul. Warszawskiej</w:t>
      </w:r>
      <w:r w:rsidR="00187394">
        <w:t xml:space="preserve"> ( na tym odcinku wykonano tylko kanalizację deszczową)</w:t>
      </w:r>
      <w:r w:rsidR="005E51F7">
        <w:t>.</w:t>
      </w:r>
    </w:p>
    <w:p w:rsidR="005E51F7" w:rsidRDefault="005E51F7" w:rsidP="000754CB">
      <w:pPr>
        <w:pStyle w:val="Akapitzlist"/>
        <w:spacing w:after="0" w:line="240" w:lineRule="auto"/>
        <w:ind w:left="765"/>
        <w:jc w:val="both"/>
      </w:pPr>
    </w:p>
    <w:p w:rsidR="005E51F7" w:rsidRDefault="0038175F" w:rsidP="000754CB">
      <w:pPr>
        <w:pStyle w:val="Akapitzlist"/>
        <w:spacing w:after="0" w:line="240" w:lineRule="auto"/>
        <w:ind w:left="765"/>
        <w:jc w:val="both"/>
      </w:pPr>
      <w:r w:rsidRPr="00A221AB">
        <w:rPr>
          <w:b/>
        </w:rPr>
        <w:t>W</w:t>
      </w:r>
      <w:r>
        <w:t xml:space="preserve"> </w:t>
      </w:r>
      <w:r w:rsidR="005E51F7" w:rsidRPr="00A221AB">
        <w:rPr>
          <w:b/>
        </w:rPr>
        <w:t>etapie</w:t>
      </w:r>
      <w:r w:rsidRPr="00A221AB">
        <w:rPr>
          <w:b/>
        </w:rPr>
        <w:t xml:space="preserve"> II</w:t>
      </w:r>
      <w:r w:rsidR="005E51F7">
        <w:t xml:space="preserve"> wybudowano</w:t>
      </w:r>
      <w:r w:rsidR="005E51F7" w:rsidRPr="005E51F7">
        <w:t xml:space="preserve"> ulic</w:t>
      </w:r>
      <w:r w:rsidR="005E51F7">
        <w:t>e</w:t>
      </w:r>
      <w:r w:rsidR="001007FC">
        <w:t xml:space="preserve"> dojazdowe</w:t>
      </w:r>
      <w:r w:rsidR="005E51F7" w:rsidRPr="005E51F7">
        <w:t xml:space="preserve"> do ulicy Leśnej w Suwałkach w kwartale pomiędzy ul. Leśną i Hubala o łącznej długości 749,62 </w:t>
      </w:r>
      <w:proofErr w:type="spellStart"/>
      <w:r w:rsidR="005E51F7" w:rsidRPr="005E51F7">
        <w:t>mb</w:t>
      </w:r>
      <w:proofErr w:type="spellEnd"/>
      <w:r w:rsidR="005E51F7">
        <w:t>. Projekt był realizowany w okresie wrzesień</w:t>
      </w:r>
      <w:r w:rsidR="005E51F7" w:rsidRPr="005E51F7">
        <w:t xml:space="preserve"> 2012 – luty 2014 r.</w:t>
      </w:r>
    </w:p>
    <w:p w:rsidR="005E51F7" w:rsidRDefault="005E51F7" w:rsidP="000754CB">
      <w:pPr>
        <w:pStyle w:val="Akapitzlist"/>
        <w:spacing w:after="0" w:line="240" w:lineRule="auto"/>
        <w:ind w:left="765"/>
        <w:jc w:val="both"/>
      </w:pPr>
    </w:p>
    <w:p w:rsidR="005E51F7" w:rsidRDefault="0038175F" w:rsidP="000754CB">
      <w:pPr>
        <w:pStyle w:val="Akapitzlist"/>
        <w:spacing w:after="0" w:line="240" w:lineRule="auto"/>
        <w:ind w:left="765"/>
        <w:jc w:val="both"/>
      </w:pPr>
      <w:r w:rsidRPr="00A221AB">
        <w:rPr>
          <w:b/>
        </w:rPr>
        <w:t>W</w:t>
      </w:r>
      <w:r>
        <w:t xml:space="preserve">  </w:t>
      </w:r>
      <w:r w:rsidR="005E51F7" w:rsidRPr="00A221AB">
        <w:rPr>
          <w:b/>
        </w:rPr>
        <w:t>etapie</w:t>
      </w:r>
      <w:r w:rsidRPr="00A221AB">
        <w:rPr>
          <w:b/>
        </w:rPr>
        <w:t xml:space="preserve"> III</w:t>
      </w:r>
      <w:r w:rsidR="005E51F7">
        <w:t xml:space="preserve">, który </w:t>
      </w:r>
      <w:r w:rsidR="00187394">
        <w:t xml:space="preserve">jest </w:t>
      </w:r>
      <w:r w:rsidR="005E51F7">
        <w:t xml:space="preserve">realizowany w </w:t>
      </w:r>
      <w:r w:rsidR="00E75360">
        <w:t xml:space="preserve">2014 </w:t>
      </w:r>
      <w:r w:rsidR="005E51F7">
        <w:t>roku zostanie wy</w:t>
      </w:r>
      <w:r w:rsidR="005E51F7" w:rsidRPr="005E51F7">
        <w:t>budowa</w:t>
      </w:r>
      <w:r w:rsidR="00E75360">
        <w:t>na ulica Krakowska</w:t>
      </w:r>
      <w:r w:rsidR="005E51F7" w:rsidRPr="005E51F7">
        <w:t xml:space="preserve"> </w:t>
      </w:r>
      <w:r w:rsidR="00E75360">
        <w:t>(</w:t>
      </w:r>
      <w:r w:rsidR="005E51F7" w:rsidRPr="005E51F7">
        <w:t>od ulicy Leśnej do ulicy Warszawskiej</w:t>
      </w:r>
      <w:r w:rsidR="00E75360">
        <w:t>)</w:t>
      </w:r>
      <w:r w:rsidR="005E51F7" w:rsidRPr="005E51F7">
        <w:t xml:space="preserve"> o długo</w:t>
      </w:r>
      <w:r w:rsidR="005E51F7">
        <w:t>ści 542,95 m, szerokość 7 m wraz z robotami sanitarnymi i elektrycznymi.</w:t>
      </w:r>
    </w:p>
    <w:p w:rsidR="0038175F" w:rsidRDefault="0038175F" w:rsidP="000754CB">
      <w:pPr>
        <w:pStyle w:val="Akapitzlist"/>
        <w:spacing w:after="0" w:line="240" w:lineRule="auto"/>
        <w:ind w:left="765"/>
        <w:jc w:val="both"/>
      </w:pPr>
    </w:p>
    <w:p w:rsidR="00B83C8F" w:rsidRDefault="0038175F" w:rsidP="00B83C8F">
      <w:pPr>
        <w:pStyle w:val="Akapitzlist"/>
        <w:spacing w:after="0" w:line="240" w:lineRule="auto"/>
        <w:ind w:left="765"/>
        <w:jc w:val="both"/>
      </w:pPr>
      <w:r w:rsidRPr="00A221AB">
        <w:rPr>
          <w:b/>
        </w:rPr>
        <w:t>W etapie IV</w:t>
      </w:r>
      <w:r>
        <w:t xml:space="preserve">  przewiduje się przebudowę ulic</w:t>
      </w:r>
      <w:r w:rsidRPr="0038175F">
        <w:t xml:space="preserve"> </w:t>
      </w:r>
      <w:r w:rsidRPr="004E12C8">
        <w:t>Hubala będącej drogą powiatową nr 101255B oraz ul. bez nazwy nr 101396B będącej drogą gminną</w:t>
      </w:r>
      <w:r>
        <w:t xml:space="preserve"> wraz z przebudową sieci kanalizacyjno-sanitarnych.</w:t>
      </w:r>
    </w:p>
    <w:p w:rsidR="00B83C8F" w:rsidRDefault="00B83C8F" w:rsidP="00B83C8F">
      <w:pPr>
        <w:pStyle w:val="Akapitzlist"/>
        <w:spacing w:after="0" w:line="240" w:lineRule="auto"/>
        <w:ind w:left="765"/>
        <w:jc w:val="both"/>
      </w:pPr>
    </w:p>
    <w:p w:rsidR="005A79AB" w:rsidRDefault="005A79AB" w:rsidP="00B83C8F">
      <w:pPr>
        <w:pStyle w:val="Akapitzlist"/>
        <w:spacing w:after="0" w:line="240" w:lineRule="auto"/>
        <w:ind w:left="765"/>
        <w:jc w:val="both"/>
      </w:pPr>
      <w:r w:rsidRPr="00CF01C2">
        <w:t>Realizacja</w:t>
      </w:r>
      <w:r w:rsidR="00B83C8F">
        <w:t xml:space="preserve"> projektu przyczyni się do  wzmocnie</w:t>
      </w:r>
      <w:r w:rsidRPr="00CF01C2">
        <w:t xml:space="preserve">nia atrakcyjności oferty inwestycyjnej poprzez uzbrojenie terenów inwestycyjnych w sieci kanalizacyjno-sanitarne oraz budowę </w:t>
      </w:r>
      <w:proofErr w:type="spellStart"/>
      <w:r w:rsidRPr="00CF01C2">
        <w:t>dróg</w:t>
      </w:r>
      <w:proofErr w:type="spellEnd"/>
      <w:r w:rsidRPr="00CF01C2">
        <w:t xml:space="preserve"> niezbędnych do obsługi komunikacyjnej terenu</w:t>
      </w:r>
      <w:r>
        <w:t xml:space="preserve">.  </w:t>
      </w:r>
    </w:p>
    <w:p w:rsidR="00A221AB" w:rsidRDefault="00A221AB" w:rsidP="00A221AB">
      <w:pPr>
        <w:spacing w:after="0" w:line="240" w:lineRule="auto"/>
        <w:ind w:left="720"/>
        <w:jc w:val="both"/>
      </w:pPr>
    </w:p>
    <w:p w:rsidR="000754CB" w:rsidRPr="00226058" w:rsidRDefault="005A79AB" w:rsidP="00A221AB">
      <w:pPr>
        <w:spacing w:after="0" w:line="240" w:lineRule="auto"/>
        <w:ind w:left="720"/>
        <w:jc w:val="both"/>
        <w:rPr>
          <w:b/>
        </w:rPr>
      </w:pPr>
      <w:r w:rsidRPr="004E12C8">
        <w:t xml:space="preserve">Szacowana wartość projektu </w:t>
      </w:r>
      <w:r w:rsidR="00C54F4C">
        <w:t xml:space="preserve">obejmującego III i IV etap </w:t>
      </w:r>
      <w:r w:rsidRPr="004E12C8">
        <w:t xml:space="preserve">to </w:t>
      </w:r>
      <w:r>
        <w:t>6.821.262</w:t>
      </w:r>
      <w:r w:rsidR="00A221AB">
        <w:t xml:space="preserve"> </w:t>
      </w:r>
      <w:r w:rsidRPr="004E12C8">
        <w:t>zł</w:t>
      </w:r>
      <w:r w:rsidR="000754CB">
        <w:t>.</w:t>
      </w:r>
    </w:p>
    <w:p w:rsidR="00B07FCD" w:rsidRPr="00226058" w:rsidRDefault="00B07FCD" w:rsidP="000754CB">
      <w:pPr>
        <w:spacing w:after="0" w:line="240" w:lineRule="auto"/>
        <w:ind w:left="720"/>
        <w:jc w:val="both"/>
        <w:rPr>
          <w:b/>
        </w:rPr>
      </w:pPr>
    </w:p>
    <w:p w:rsidR="00226058" w:rsidRPr="00B41C36" w:rsidRDefault="00B41C36" w:rsidP="00B41C36">
      <w:pPr>
        <w:pStyle w:val="Akapitzlist"/>
        <w:numPr>
          <w:ilvl w:val="0"/>
          <w:numId w:val="16"/>
        </w:numPr>
        <w:spacing w:after="0" w:line="240" w:lineRule="auto"/>
        <w:jc w:val="both"/>
        <w:rPr>
          <w:b/>
        </w:rPr>
      </w:pPr>
      <w:r w:rsidRPr="00B41C36">
        <w:rPr>
          <w:b/>
        </w:rPr>
        <w:t>Przebudowa ul. Buczka od</w:t>
      </w:r>
      <w:r>
        <w:rPr>
          <w:b/>
        </w:rPr>
        <w:t xml:space="preserve"> </w:t>
      </w:r>
      <w:r w:rsidRPr="00B41C36">
        <w:rPr>
          <w:b/>
        </w:rPr>
        <w:t>ul. Leśnej do granic administracyjnych miasta Suwałki w ciągu drogi wojewódzkiej nr 655</w:t>
      </w:r>
    </w:p>
    <w:p w:rsidR="00226058" w:rsidRPr="00226058" w:rsidRDefault="00226058" w:rsidP="00226058">
      <w:pPr>
        <w:pStyle w:val="Akapitzlist"/>
        <w:spacing w:after="0" w:line="240" w:lineRule="auto"/>
        <w:ind w:left="765"/>
        <w:jc w:val="both"/>
        <w:rPr>
          <w:b/>
        </w:rPr>
      </w:pPr>
    </w:p>
    <w:p w:rsidR="00B41C36" w:rsidRDefault="00187394" w:rsidP="000754CB">
      <w:pPr>
        <w:spacing w:after="0" w:line="240" w:lineRule="auto"/>
        <w:ind w:left="720"/>
        <w:jc w:val="both"/>
      </w:pPr>
      <w:r w:rsidRPr="00187394">
        <w:t>Realizacja przedmiotowego projektu dot. przebudowy ul. Buczka od ul. Leśnej do granic administracyjnych miasta Suwałki w ciągu drogi wojewódzkiej nr 655</w:t>
      </w:r>
      <w:r w:rsidR="00B41C36" w:rsidRPr="00B41C36">
        <w:t>. Przedsięwzięcie poprawi jakość  obsługi komunikacyjnej miasta Suwałki poprzez połączeni</w:t>
      </w:r>
      <w:r w:rsidR="00B41C36">
        <w:t xml:space="preserve">e z infrastrukturą </w:t>
      </w:r>
      <w:proofErr w:type="spellStart"/>
      <w:r w:rsidR="00B41C36">
        <w:t>TEN-T</w:t>
      </w:r>
      <w:proofErr w:type="spellEnd"/>
      <w:r w:rsidR="00B41C36" w:rsidRPr="00B41C36">
        <w:t xml:space="preserve"> i skróci czas przejazdu przez Suwałki.  </w:t>
      </w:r>
    </w:p>
    <w:p w:rsidR="00B41C36" w:rsidRDefault="00B41C36" w:rsidP="000754CB">
      <w:pPr>
        <w:spacing w:after="0" w:line="240" w:lineRule="auto"/>
        <w:ind w:left="720"/>
        <w:jc w:val="both"/>
      </w:pPr>
    </w:p>
    <w:p w:rsidR="00B41C36" w:rsidRDefault="00B41C36" w:rsidP="00B41C36">
      <w:pPr>
        <w:spacing w:after="0" w:line="240" w:lineRule="auto"/>
        <w:ind w:left="720"/>
        <w:jc w:val="both"/>
      </w:pPr>
      <w:r>
        <w:t xml:space="preserve">Projekt będzie szczególnie korzystny dla przedsiębiorców gdyż  poprawi skomunikowanie terenów przemysłowych SSSE oraz lotniska lokalnego, bazy Centrum Pogotowia Ratunkowego znajdujących się w  południowej części miasta  z węzłem S-61 „Suwałki –Południe” oraz drogą krajową nr 65, która w chwili obecnej jest przebudowywana ze środków Programu </w:t>
      </w:r>
      <w:proofErr w:type="spellStart"/>
      <w:r>
        <w:t>LT-PL-RU</w:t>
      </w:r>
      <w:proofErr w:type="spellEnd"/>
      <w:r>
        <w:t>.</w:t>
      </w:r>
    </w:p>
    <w:p w:rsidR="00B41C36" w:rsidRPr="00AD3AA0" w:rsidRDefault="00B41C36" w:rsidP="000754CB">
      <w:pPr>
        <w:spacing w:after="0" w:line="240" w:lineRule="auto"/>
        <w:ind w:left="720"/>
        <w:jc w:val="both"/>
      </w:pPr>
    </w:p>
    <w:tbl>
      <w:tblPr>
        <w:tblStyle w:val="Tabela-Siatka"/>
        <w:tblW w:w="0" w:type="auto"/>
        <w:tblLook w:val="04A0"/>
      </w:tblPr>
      <w:tblGrid>
        <w:gridCol w:w="2011"/>
        <w:gridCol w:w="2275"/>
        <w:gridCol w:w="1796"/>
        <w:gridCol w:w="1440"/>
        <w:gridCol w:w="1766"/>
      </w:tblGrid>
      <w:tr w:rsidR="00BA58FD" w:rsidRPr="002B47D5" w:rsidTr="00187394">
        <w:tc>
          <w:tcPr>
            <w:tcW w:w="2011" w:type="dxa"/>
            <w:shd w:val="clear" w:color="auto" w:fill="4F81BD" w:themeFill="accent1"/>
          </w:tcPr>
          <w:p w:rsidR="00BA58FD" w:rsidRPr="002B47D5" w:rsidRDefault="00BA58FD" w:rsidP="00817792">
            <w:pPr>
              <w:rPr>
                <w:color w:val="FFFFFF" w:themeColor="background1"/>
                <w:sz w:val="18"/>
                <w:szCs w:val="18"/>
              </w:rPr>
            </w:pPr>
            <w:r>
              <w:rPr>
                <w:color w:val="FFFFFF" w:themeColor="background1"/>
                <w:sz w:val="18"/>
                <w:szCs w:val="18"/>
              </w:rPr>
              <w:t>Działanie</w:t>
            </w:r>
          </w:p>
        </w:tc>
        <w:tc>
          <w:tcPr>
            <w:tcW w:w="2275" w:type="dxa"/>
            <w:shd w:val="clear" w:color="auto" w:fill="4F81BD" w:themeFill="accent1"/>
          </w:tcPr>
          <w:p w:rsidR="00BA58FD" w:rsidRPr="002B47D5" w:rsidRDefault="00BA58FD" w:rsidP="00817792">
            <w:pPr>
              <w:rPr>
                <w:color w:val="FFFFFF" w:themeColor="background1"/>
                <w:sz w:val="18"/>
                <w:szCs w:val="18"/>
              </w:rPr>
            </w:pPr>
            <w:r>
              <w:rPr>
                <w:color w:val="FFFFFF" w:themeColor="background1"/>
                <w:sz w:val="18"/>
                <w:szCs w:val="18"/>
              </w:rPr>
              <w:t>Podmioty odpowiedzialne</w:t>
            </w:r>
          </w:p>
        </w:tc>
        <w:tc>
          <w:tcPr>
            <w:tcW w:w="1796" w:type="dxa"/>
            <w:shd w:val="clear" w:color="auto" w:fill="4F81BD" w:themeFill="accent1"/>
          </w:tcPr>
          <w:p w:rsidR="00BA58FD" w:rsidRPr="002B47D5" w:rsidRDefault="00BA58FD" w:rsidP="00817792">
            <w:pPr>
              <w:rPr>
                <w:color w:val="FFFFFF" w:themeColor="background1"/>
                <w:sz w:val="18"/>
                <w:szCs w:val="18"/>
              </w:rPr>
            </w:pPr>
            <w:r>
              <w:rPr>
                <w:color w:val="FFFFFF" w:themeColor="background1"/>
                <w:sz w:val="18"/>
                <w:szCs w:val="18"/>
              </w:rPr>
              <w:t>Grupy docelowe</w:t>
            </w:r>
          </w:p>
        </w:tc>
        <w:tc>
          <w:tcPr>
            <w:tcW w:w="1440" w:type="dxa"/>
            <w:shd w:val="clear" w:color="auto" w:fill="4F81BD" w:themeFill="accent1"/>
          </w:tcPr>
          <w:p w:rsidR="00BA58FD" w:rsidRDefault="00BA58FD" w:rsidP="00817792">
            <w:pPr>
              <w:rPr>
                <w:color w:val="FFFFFF" w:themeColor="background1"/>
                <w:sz w:val="18"/>
                <w:szCs w:val="18"/>
              </w:rPr>
            </w:pPr>
            <w:r>
              <w:rPr>
                <w:color w:val="FFFFFF" w:themeColor="background1"/>
                <w:sz w:val="18"/>
                <w:szCs w:val="18"/>
              </w:rPr>
              <w:t>Koszt</w:t>
            </w:r>
          </w:p>
        </w:tc>
        <w:tc>
          <w:tcPr>
            <w:tcW w:w="1766" w:type="dxa"/>
            <w:shd w:val="clear" w:color="auto" w:fill="4F81BD" w:themeFill="accent1"/>
          </w:tcPr>
          <w:p w:rsidR="00BA58FD" w:rsidRPr="002B47D5" w:rsidRDefault="00BA58FD" w:rsidP="00817792">
            <w:pPr>
              <w:rPr>
                <w:color w:val="FFFFFF" w:themeColor="background1"/>
                <w:sz w:val="18"/>
                <w:szCs w:val="18"/>
              </w:rPr>
            </w:pPr>
            <w:r>
              <w:rPr>
                <w:color w:val="FFFFFF" w:themeColor="background1"/>
                <w:sz w:val="18"/>
                <w:szCs w:val="18"/>
              </w:rPr>
              <w:t>Źródła finansowania</w:t>
            </w:r>
          </w:p>
        </w:tc>
      </w:tr>
      <w:tr w:rsidR="00BA58FD" w:rsidRPr="002B47D5" w:rsidTr="00187394">
        <w:tc>
          <w:tcPr>
            <w:tcW w:w="2011" w:type="dxa"/>
          </w:tcPr>
          <w:p w:rsidR="00BA58FD" w:rsidRPr="005152A0" w:rsidRDefault="00BA58FD" w:rsidP="00817792">
            <w:pPr>
              <w:jc w:val="both"/>
              <w:rPr>
                <w:sz w:val="18"/>
                <w:szCs w:val="18"/>
              </w:rPr>
            </w:pPr>
            <w:r>
              <w:rPr>
                <w:sz w:val="18"/>
                <w:szCs w:val="18"/>
              </w:rPr>
              <w:t>Tereny inwestycyjne w sąsiedztwie SSSE</w:t>
            </w:r>
          </w:p>
        </w:tc>
        <w:tc>
          <w:tcPr>
            <w:tcW w:w="2275" w:type="dxa"/>
          </w:tcPr>
          <w:p w:rsidR="00BA58FD" w:rsidRPr="002B47D5" w:rsidRDefault="00BA58FD" w:rsidP="00817792">
            <w:pPr>
              <w:jc w:val="both"/>
              <w:rPr>
                <w:sz w:val="18"/>
                <w:szCs w:val="18"/>
              </w:rPr>
            </w:pPr>
            <w:r>
              <w:rPr>
                <w:sz w:val="18"/>
                <w:szCs w:val="18"/>
              </w:rPr>
              <w:t xml:space="preserve">Miasto Suwałki, </w:t>
            </w:r>
            <w:proofErr w:type="spellStart"/>
            <w:r>
              <w:rPr>
                <w:sz w:val="18"/>
                <w:szCs w:val="18"/>
              </w:rPr>
              <w:t>PWiK</w:t>
            </w:r>
            <w:proofErr w:type="spellEnd"/>
          </w:p>
        </w:tc>
        <w:tc>
          <w:tcPr>
            <w:tcW w:w="1796" w:type="dxa"/>
          </w:tcPr>
          <w:p w:rsidR="00BA58FD" w:rsidRPr="002B47D5" w:rsidRDefault="00BA58FD" w:rsidP="00817792">
            <w:pPr>
              <w:jc w:val="both"/>
              <w:rPr>
                <w:sz w:val="18"/>
                <w:szCs w:val="18"/>
              </w:rPr>
            </w:pPr>
            <w:r>
              <w:rPr>
                <w:sz w:val="18"/>
                <w:szCs w:val="18"/>
              </w:rPr>
              <w:t>Przedsiębiorcy</w:t>
            </w:r>
          </w:p>
        </w:tc>
        <w:tc>
          <w:tcPr>
            <w:tcW w:w="1440" w:type="dxa"/>
          </w:tcPr>
          <w:p w:rsidR="00BA58FD" w:rsidRPr="0015149F" w:rsidRDefault="00E502B3" w:rsidP="00817792">
            <w:pPr>
              <w:jc w:val="both"/>
              <w:rPr>
                <w:sz w:val="18"/>
                <w:szCs w:val="18"/>
              </w:rPr>
            </w:pPr>
            <w:r>
              <w:rPr>
                <w:sz w:val="18"/>
                <w:szCs w:val="18"/>
              </w:rPr>
              <w:t>49.800.000</w:t>
            </w:r>
            <w:r w:rsidR="0015149F">
              <w:rPr>
                <w:sz w:val="18"/>
                <w:szCs w:val="18"/>
              </w:rPr>
              <w:t xml:space="preserve"> zł</w:t>
            </w:r>
          </w:p>
        </w:tc>
        <w:tc>
          <w:tcPr>
            <w:tcW w:w="1766" w:type="dxa"/>
          </w:tcPr>
          <w:p w:rsidR="00BA58FD" w:rsidRPr="002B47D5" w:rsidRDefault="00BA58FD" w:rsidP="00817792">
            <w:pPr>
              <w:jc w:val="both"/>
              <w:rPr>
                <w:sz w:val="18"/>
                <w:szCs w:val="18"/>
              </w:rPr>
            </w:pPr>
            <w:r>
              <w:rPr>
                <w:sz w:val="18"/>
                <w:szCs w:val="18"/>
              </w:rPr>
              <w:t>Fundusze unijne, środki własne</w:t>
            </w:r>
          </w:p>
        </w:tc>
      </w:tr>
      <w:tr w:rsidR="00BA58FD" w:rsidRPr="002B47D5" w:rsidTr="00187394">
        <w:tc>
          <w:tcPr>
            <w:tcW w:w="2011" w:type="dxa"/>
          </w:tcPr>
          <w:p w:rsidR="00BA58FD" w:rsidRPr="005152A0" w:rsidRDefault="00BA58FD" w:rsidP="00817792">
            <w:pPr>
              <w:jc w:val="both"/>
              <w:rPr>
                <w:sz w:val="18"/>
                <w:szCs w:val="18"/>
              </w:rPr>
            </w:pPr>
            <w:r>
              <w:rPr>
                <w:sz w:val="18"/>
                <w:szCs w:val="18"/>
              </w:rPr>
              <w:t>Tereny inwestycyjne w sąsiedztwie PNT</w:t>
            </w:r>
          </w:p>
        </w:tc>
        <w:tc>
          <w:tcPr>
            <w:tcW w:w="2275" w:type="dxa"/>
          </w:tcPr>
          <w:p w:rsidR="00BA58FD" w:rsidRPr="002B47D5" w:rsidRDefault="00BA58FD" w:rsidP="00817792">
            <w:pPr>
              <w:jc w:val="both"/>
              <w:rPr>
                <w:sz w:val="18"/>
                <w:szCs w:val="18"/>
              </w:rPr>
            </w:pPr>
            <w:r>
              <w:rPr>
                <w:sz w:val="18"/>
                <w:szCs w:val="18"/>
              </w:rPr>
              <w:t xml:space="preserve">Miasto Suwałki, </w:t>
            </w:r>
            <w:proofErr w:type="spellStart"/>
            <w:r>
              <w:rPr>
                <w:sz w:val="18"/>
                <w:szCs w:val="18"/>
              </w:rPr>
              <w:t>PWiK</w:t>
            </w:r>
            <w:proofErr w:type="spellEnd"/>
          </w:p>
        </w:tc>
        <w:tc>
          <w:tcPr>
            <w:tcW w:w="1796" w:type="dxa"/>
          </w:tcPr>
          <w:p w:rsidR="00BA58FD" w:rsidRPr="002B47D5" w:rsidRDefault="00BA58FD" w:rsidP="00817792">
            <w:pPr>
              <w:jc w:val="both"/>
              <w:rPr>
                <w:sz w:val="18"/>
                <w:szCs w:val="18"/>
              </w:rPr>
            </w:pPr>
            <w:r>
              <w:rPr>
                <w:sz w:val="18"/>
                <w:szCs w:val="18"/>
              </w:rPr>
              <w:t>Przedsiębiorcy</w:t>
            </w:r>
          </w:p>
        </w:tc>
        <w:tc>
          <w:tcPr>
            <w:tcW w:w="1440" w:type="dxa"/>
          </w:tcPr>
          <w:p w:rsidR="00BA58FD" w:rsidRPr="002B47D5" w:rsidRDefault="00AD3AA0" w:rsidP="00817792">
            <w:pPr>
              <w:jc w:val="both"/>
              <w:rPr>
                <w:sz w:val="18"/>
                <w:szCs w:val="18"/>
              </w:rPr>
            </w:pPr>
            <w:r>
              <w:rPr>
                <w:sz w:val="18"/>
                <w:szCs w:val="18"/>
              </w:rPr>
              <w:t>3.000.000 zł</w:t>
            </w:r>
          </w:p>
        </w:tc>
        <w:tc>
          <w:tcPr>
            <w:tcW w:w="1766" w:type="dxa"/>
          </w:tcPr>
          <w:p w:rsidR="00BA58FD" w:rsidRPr="002B47D5" w:rsidRDefault="00BA58FD" w:rsidP="00817792">
            <w:pPr>
              <w:jc w:val="both"/>
              <w:rPr>
                <w:sz w:val="18"/>
                <w:szCs w:val="18"/>
              </w:rPr>
            </w:pPr>
            <w:r>
              <w:rPr>
                <w:sz w:val="18"/>
                <w:szCs w:val="18"/>
              </w:rPr>
              <w:t>Fundusze unijne, środki własne</w:t>
            </w:r>
          </w:p>
        </w:tc>
      </w:tr>
      <w:tr w:rsidR="00AD3AA0" w:rsidRPr="002B47D5" w:rsidTr="00187394">
        <w:tc>
          <w:tcPr>
            <w:tcW w:w="2011" w:type="dxa"/>
          </w:tcPr>
          <w:p w:rsidR="00AD3AA0" w:rsidRDefault="00AD3AA0" w:rsidP="00817792">
            <w:pPr>
              <w:jc w:val="both"/>
              <w:rPr>
                <w:sz w:val="18"/>
                <w:szCs w:val="18"/>
              </w:rPr>
            </w:pPr>
            <w:r>
              <w:rPr>
                <w:sz w:val="18"/>
                <w:szCs w:val="18"/>
              </w:rPr>
              <w:t>Tereny inwestycyjne w strefie „Papiernia”</w:t>
            </w:r>
            <w:r w:rsidR="005A79AB">
              <w:rPr>
                <w:sz w:val="18"/>
                <w:szCs w:val="18"/>
              </w:rPr>
              <w:t xml:space="preserve"> (III i IV etap)</w:t>
            </w:r>
          </w:p>
        </w:tc>
        <w:tc>
          <w:tcPr>
            <w:tcW w:w="2275" w:type="dxa"/>
          </w:tcPr>
          <w:p w:rsidR="00AD3AA0" w:rsidRPr="002B47D5" w:rsidRDefault="00AD3AA0" w:rsidP="00F7670E">
            <w:pPr>
              <w:jc w:val="both"/>
              <w:rPr>
                <w:sz w:val="18"/>
                <w:szCs w:val="18"/>
              </w:rPr>
            </w:pPr>
            <w:r>
              <w:rPr>
                <w:sz w:val="18"/>
                <w:szCs w:val="18"/>
              </w:rPr>
              <w:t xml:space="preserve">Miasto Suwałki, </w:t>
            </w:r>
            <w:proofErr w:type="spellStart"/>
            <w:r>
              <w:rPr>
                <w:sz w:val="18"/>
                <w:szCs w:val="18"/>
              </w:rPr>
              <w:t>PWiK</w:t>
            </w:r>
            <w:proofErr w:type="spellEnd"/>
          </w:p>
        </w:tc>
        <w:tc>
          <w:tcPr>
            <w:tcW w:w="1796" w:type="dxa"/>
          </w:tcPr>
          <w:p w:rsidR="00AD3AA0" w:rsidRPr="002B47D5" w:rsidRDefault="00AD3AA0" w:rsidP="00F7670E">
            <w:pPr>
              <w:jc w:val="both"/>
              <w:rPr>
                <w:sz w:val="18"/>
                <w:szCs w:val="18"/>
              </w:rPr>
            </w:pPr>
            <w:r>
              <w:rPr>
                <w:sz w:val="18"/>
                <w:szCs w:val="18"/>
              </w:rPr>
              <w:t>Przedsiębiorcy</w:t>
            </w:r>
          </w:p>
        </w:tc>
        <w:tc>
          <w:tcPr>
            <w:tcW w:w="1440" w:type="dxa"/>
          </w:tcPr>
          <w:p w:rsidR="00AD3AA0" w:rsidRDefault="00E502B3" w:rsidP="00817792">
            <w:pPr>
              <w:jc w:val="both"/>
              <w:rPr>
                <w:sz w:val="18"/>
                <w:szCs w:val="18"/>
              </w:rPr>
            </w:pPr>
            <w:r>
              <w:rPr>
                <w:sz w:val="18"/>
                <w:szCs w:val="18"/>
              </w:rPr>
              <w:t>6.820.000</w:t>
            </w:r>
            <w:r w:rsidR="005A79AB">
              <w:rPr>
                <w:sz w:val="18"/>
                <w:szCs w:val="18"/>
              </w:rPr>
              <w:t xml:space="preserve"> zł</w:t>
            </w:r>
          </w:p>
        </w:tc>
        <w:tc>
          <w:tcPr>
            <w:tcW w:w="1766" w:type="dxa"/>
          </w:tcPr>
          <w:p w:rsidR="00AD3AA0" w:rsidRDefault="00AD3AA0" w:rsidP="00817792">
            <w:pPr>
              <w:jc w:val="both"/>
              <w:rPr>
                <w:sz w:val="18"/>
                <w:szCs w:val="18"/>
              </w:rPr>
            </w:pPr>
            <w:r>
              <w:rPr>
                <w:sz w:val="18"/>
                <w:szCs w:val="18"/>
              </w:rPr>
              <w:t>Fundusze unijne, środki własne</w:t>
            </w:r>
          </w:p>
        </w:tc>
      </w:tr>
      <w:tr w:rsidR="00226058" w:rsidRPr="002B47D5" w:rsidTr="00187394">
        <w:tc>
          <w:tcPr>
            <w:tcW w:w="2011" w:type="dxa"/>
          </w:tcPr>
          <w:p w:rsidR="00226058" w:rsidRDefault="00B41C36" w:rsidP="00817792">
            <w:pPr>
              <w:jc w:val="both"/>
              <w:rPr>
                <w:sz w:val="18"/>
                <w:szCs w:val="18"/>
              </w:rPr>
            </w:pPr>
            <w:r w:rsidRPr="00B41C36">
              <w:rPr>
                <w:sz w:val="18"/>
                <w:szCs w:val="18"/>
              </w:rPr>
              <w:t>Przebudowa ul. Buczka od ul. Leśnej do granic administracyjnych miasta Suwałki w ciągu drogi wojewódzkiej nr 655</w:t>
            </w:r>
            <w:r>
              <w:rPr>
                <w:sz w:val="18"/>
                <w:szCs w:val="18"/>
              </w:rPr>
              <w:t>.</w:t>
            </w:r>
          </w:p>
        </w:tc>
        <w:tc>
          <w:tcPr>
            <w:tcW w:w="2275" w:type="dxa"/>
          </w:tcPr>
          <w:p w:rsidR="00226058" w:rsidRDefault="00B41C36" w:rsidP="00F7670E">
            <w:pPr>
              <w:jc w:val="both"/>
              <w:rPr>
                <w:sz w:val="18"/>
                <w:szCs w:val="18"/>
              </w:rPr>
            </w:pPr>
            <w:r>
              <w:rPr>
                <w:sz w:val="18"/>
                <w:szCs w:val="18"/>
              </w:rPr>
              <w:t>Miasto Suwałki</w:t>
            </w:r>
          </w:p>
        </w:tc>
        <w:tc>
          <w:tcPr>
            <w:tcW w:w="1796" w:type="dxa"/>
          </w:tcPr>
          <w:p w:rsidR="00226058" w:rsidRDefault="00B41C36" w:rsidP="00F7670E">
            <w:pPr>
              <w:jc w:val="both"/>
              <w:rPr>
                <w:sz w:val="18"/>
                <w:szCs w:val="18"/>
              </w:rPr>
            </w:pPr>
            <w:r>
              <w:rPr>
                <w:sz w:val="18"/>
                <w:szCs w:val="18"/>
              </w:rPr>
              <w:t>Mieszkańcy miasta, regionu, przedsiębiorcy, turyści</w:t>
            </w:r>
          </w:p>
        </w:tc>
        <w:tc>
          <w:tcPr>
            <w:tcW w:w="1440" w:type="dxa"/>
          </w:tcPr>
          <w:p w:rsidR="00226058" w:rsidRDefault="00B41C36" w:rsidP="00817792">
            <w:pPr>
              <w:jc w:val="both"/>
              <w:rPr>
                <w:sz w:val="18"/>
                <w:szCs w:val="18"/>
              </w:rPr>
            </w:pPr>
            <w:r>
              <w:rPr>
                <w:sz w:val="18"/>
                <w:szCs w:val="18"/>
              </w:rPr>
              <w:t>12.000.000 zł</w:t>
            </w:r>
          </w:p>
        </w:tc>
        <w:tc>
          <w:tcPr>
            <w:tcW w:w="1766" w:type="dxa"/>
          </w:tcPr>
          <w:p w:rsidR="00226058" w:rsidRDefault="00B41C36" w:rsidP="00817792">
            <w:pPr>
              <w:jc w:val="both"/>
              <w:rPr>
                <w:sz w:val="18"/>
                <w:szCs w:val="18"/>
              </w:rPr>
            </w:pPr>
            <w:r>
              <w:rPr>
                <w:sz w:val="18"/>
                <w:szCs w:val="18"/>
              </w:rPr>
              <w:t>Fundusze unijne, środki własne</w:t>
            </w:r>
          </w:p>
        </w:tc>
      </w:tr>
    </w:tbl>
    <w:p w:rsidR="00AF2087" w:rsidRDefault="00AF2087" w:rsidP="00AF2087">
      <w:pPr>
        <w:jc w:val="both"/>
      </w:pPr>
    </w:p>
    <w:p w:rsidR="000754CB" w:rsidRPr="00946BA2" w:rsidRDefault="00D238F9" w:rsidP="00946BA2">
      <w:pPr>
        <w:pStyle w:val="Nagwek3"/>
        <w:jc w:val="both"/>
        <w:rPr>
          <w:color w:val="auto"/>
        </w:rPr>
      </w:pPr>
      <w:bookmarkStart w:id="38" w:name="_Toc390759489"/>
      <w:r w:rsidRPr="004E179C">
        <w:t>1.2.2. Prowadzenie przyjaznej dla przedsiębiorców polityki zarządzania gruntami należącymi do miasta</w:t>
      </w:r>
      <w:bookmarkEnd w:id="38"/>
    </w:p>
    <w:p w:rsidR="00B41C36" w:rsidRDefault="00B41C36" w:rsidP="000754CB">
      <w:pPr>
        <w:spacing w:after="0" w:line="240" w:lineRule="auto"/>
        <w:jc w:val="both"/>
      </w:pPr>
    </w:p>
    <w:p w:rsidR="004E179C" w:rsidRPr="00AC1C2F" w:rsidRDefault="004E179C" w:rsidP="000754CB">
      <w:pPr>
        <w:spacing w:after="0" w:line="240" w:lineRule="auto"/>
        <w:jc w:val="both"/>
      </w:pPr>
      <w:r w:rsidRPr="00AC1C2F">
        <w:t>W chwili obecnej na terenie miasta Suwałki 257</w:t>
      </w:r>
      <w:r w:rsidR="009C1F39" w:rsidRPr="00AC1C2F">
        <w:t xml:space="preserve"> </w:t>
      </w:r>
      <w:r w:rsidR="00AC1C2F" w:rsidRPr="00AC1C2F">
        <w:t xml:space="preserve">osób prowadzących działalność gospodarczą </w:t>
      </w:r>
      <w:r w:rsidR="009C1F39" w:rsidRPr="00AC1C2F">
        <w:t xml:space="preserve">posiada </w:t>
      </w:r>
      <w:r w:rsidRPr="00AC1C2F">
        <w:t>w użytkowaniu wieczystym</w:t>
      </w:r>
      <w:r w:rsidR="009C1F39" w:rsidRPr="00AC1C2F">
        <w:t xml:space="preserve"> grunty Gminy Miasta Suwałki</w:t>
      </w:r>
      <w:r w:rsidRPr="00AC1C2F">
        <w:t xml:space="preserve"> o łącznej powierzchni 21,239 ha. Suma opłat rocznych z tytułu użytkowania wieczystego w roku 2014 wyniesie </w:t>
      </w:r>
      <w:r w:rsidRPr="00D6735A">
        <w:t>362.589,02 zł</w:t>
      </w:r>
      <w:r w:rsidR="00D6735A">
        <w:rPr>
          <w:rStyle w:val="Odwoanieprzypisudolnego"/>
        </w:rPr>
        <w:footnoteReference w:id="11"/>
      </w:r>
      <w:r w:rsidRPr="00D6735A">
        <w:t>.</w:t>
      </w:r>
    </w:p>
    <w:p w:rsidR="004E179C" w:rsidRPr="0043757A" w:rsidRDefault="004E179C" w:rsidP="000754CB">
      <w:pPr>
        <w:spacing w:after="0" w:line="240" w:lineRule="auto"/>
        <w:jc w:val="both"/>
        <w:rPr>
          <w:highlight w:val="yellow"/>
        </w:rPr>
      </w:pPr>
    </w:p>
    <w:p w:rsidR="00A221AB" w:rsidRPr="00AC1C2F" w:rsidRDefault="000754CB" w:rsidP="000754CB">
      <w:pPr>
        <w:spacing w:after="0" w:line="240" w:lineRule="auto"/>
        <w:jc w:val="both"/>
      </w:pPr>
      <w:r w:rsidRPr="00AC1C2F">
        <w:t>W celu ułatwienia przedsiębiorcom nabywania na własność gruntów użytkowanych przez nich na podstawie prawa użytkowania wieczystego nieruchomości, władze Miasta przewidują wprow</w:t>
      </w:r>
      <w:r w:rsidR="004E179C" w:rsidRPr="00AC1C2F">
        <w:t xml:space="preserve">adzenie bonifikaty </w:t>
      </w:r>
      <w:r w:rsidRPr="00AC1C2F">
        <w:t>od opłaty z tytułu przekształcenia tego prawa na własność. Uprawniony do uzyskania bonifikaty będzie przedsiębiorca, który dokona jednorazowej wpłaty należności z tytułu przekształcenia</w:t>
      </w:r>
      <w:r w:rsidR="00717FD1" w:rsidRPr="00AC1C2F">
        <w:t xml:space="preserve"> prawa</w:t>
      </w:r>
      <w:r w:rsidR="009C1F39" w:rsidRPr="00AC1C2F">
        <w:t xml:space="preserve"> użytkownika wieczystego we własność</w:t>
      </w:r>
      <w:r w:rsidRPr="00AC1C2F">
        <w:t>.</w:t>
      </w:r>
      <w:r w:rsidR="004E179C" w:rsidRPr="00AC1C2F">
        <w:t xml:space="preserve"> </w:t>
      </w:r>
      <w:r w:rsidR="00A221AB" w:rsidRPr="00AC1C2F">
        <w:t xml:space="preserve">Działanie </w:t>
      </w:r>
      <w:r w:rsidR="004E179C" w:rsidRPr="00AC1C2F">
        <w:t xml:space="preserve">to </w:t>
      </w:r>
      <w:r w:rsidR="00A221AB" w:rsidRPr="00AC1C2F">
        <w:t>zostanie uruchomione w 2014 r.</w:t>
      </w:r>
      <w:r w:rsidR="00AC1C2F">
        <w:t xml:space="preserve"> Wysokość bonifikaty zostanie określona w uchwale Rady Miejskiej w Suwałkach.</w:t>
      </w:r>
    </w:p>
    <w:p w:rsidR="00946BA2" w:rsidRPr="00AC1C2F" w:rsidRDefault="00946BA2" w:rsidP="000754CB">
      <w:pPr>
        <w:spacing w:after="0" w:line="240" w:lineRule="auto"/>
        <w:jc w:val="both"/>
      </w:pPr>
    </w:p>
    <w:p w:rsidR="00946BA2" w:rsidRDefault="00946BA2" w:rsidP="000754CB">
      <w:pPr>
        <w:spacing w:after="0" w:line="240" w:lineRule="auto"/>
        <w:jc w:val="both"/>
      </w:pPr>
      <w:r w:rsidRPr="00AC1C2F">
        <w:t>Przewiduje się, że możliwość uzyskania bonifikaty będzie obowiązywać przez okres 3 lat od podjęcia uchwały w tej sprawie przez Radę Miejską w Suwałkach.</w:t>
      </w:r>
    </w:p>
    <w:p w:rsidR="008808F6" w:rsidRPr="00D238F9" w:rsidRDefault="008808F6" w:rsidP="000754CB">
      <w:pPr>
        <w:spacing w:after="0" w:line="240" w:lineRule="auto"/>
        <w:jc w:val="both"/>
      </w:pPr>
    </w:p>
    <w:tbl>
      <w:tblPr>
        <w:tblStyle w:val="Tabela-Siatka"/>
        <w:tblW w:w="0" w:type="auto"/>
        <w:tblLook w:val="04A0"/>
      </w:tblPr>
      <w:tblGrid>
        <w:gridCol w:w="2011"/>
        <w:gridCol w:w="2275"/>
        <w:gridCol w:w="1796"/>
        <w:gridCol w:w="1440"/>
        <w:gridCol w:w="1766"/>
      </w:tblGrid>
      <w:tr w:rsidR="00D238F9" w:rsidRPr="002B47D5" w:rsidTr="00ED3014">
        <w:tc>
          <w:tcPr>
            <w:tcW w:w="2011" w:type="dxa"/>
            <w:shd w:val="clear" w:color="auto" w:fill="4F81BD" w:themeFill="accent1"/>
          </w:tcPr>
          <w:p w:rsidR="00D238F9" w:rsidRPr="002B47D5" w:rsidRDefault="00D238F9" w:rsidP="00ED3014">
            <w:pPr>
              <w:rPr>
                <w:color w:val="FFFFFF" w:themeColor="background1"/>
                <w:sz w:val="18"/>
                <w:szCs w:val="18"/>
              </w:rPr>
            </w:pPr>
            <w:r>
              <w:rPr>
                <w:color w:val="FFFFFF" w:themeColor="background1"/>
                <w:sz w:val="18"/>
                <w:szCs w:val="18"/>
              </w:rPr>
              <w:t>Działanie</w:t>
            </w:r>
          </w:p>
        </w:tc>
        <w:tc>
          <w:tcPr>
            <w:tcW w:w="2275" w:type="dxa"/>
            <w:shd w:val="clear" w:color="auto" w:fill="4F81BD" w:themeFill="accent1"/>
          </w:tcPr>
          <w:p w:rsidR="00D238F9" w:rsidRPr="002B47D5" w:rsidRDefault="00D238F9" w:rsidP="00ED3014">
            <w:pPr>
              <w:rPr>
                <w:color w:val="FFFFFF" w:themeColor="background1"/>
                <w:sz w:val="18"/>
                <w:szCs w:val="18"/>
              </w:rPr>
            </w:pPr>
            <w:r>
              <w:rPr>
                <w:color w:val="FFFFFF" w:themeColor="background1"/>
                <w:sz w:val="18"/>
                <w:szCs w:val="18"/>
              </w:rPr>
              <w:t>Podmioty odpowiedzialne</w:t>
            </w:r>
          </w:p>
        </w:tc>
        <w:tc>
          <w:tcPr>
            <w:tcW w:w="1796" w:type="dxa"/>
            <w:shd w:val="clear" w:color="auto" w:fill="4F81BD" w:themeFill="accent1"/>
          </w:tcPr>
          <w:p w:rsidR="00D238F9" w:rsidRPr="002B47D5" w:rsidRDefault="00D238F9" w:rsidP="00ED3014">
            <w:pPr>
              <w:rPr>
                <w:color w:val="FFFFFF" w:themeColor="background1"/>
                <w:sz w:val="18"/>
                <w:szCs w:val="18"/>
              </w:rPr>
            </w:pPr>
            <w:r>
              <w:rPr>
                <w:color w:val="FFFFFF" w:themeColor="background1"/>
                <w:sz w:val="18"/>
                <w:szCs w:val="18"/>
              </w:rPr>
              <w:t>Grupy docelowe</w:t>
            </w:r>
          </w:p>
        </w:tc>
        <w:tc>
          <w:tcPr>
            <w:tcW w:w="1440" w:type="dxa"/>
            <w:shd w:val="clear" w:color="auto" w:fill="4F81BD" w:themeFill="accent1"/>
          </w:tcPr>
          <w:p w:rsidR="00D238F9" w:rsidRDefault="00D238F9" w:rsidP="00ED3014">
            <w:pPr>
              <w:rPr>
                <w:color w:val="FFFFFF" w:themeColor="background1"/>
                <w:sz w:val="18"/>
                <w:szCs w:val="18"/>
              </w:rPr>
            </w:pPr>
            <w:r>
              <w:rPr>
                <w:color w:val="FFFFFF" w:themeColor="background1"/>
                <w:sz w:val="18"/>
                <w:szCs w:val="18"/>
              </w:rPr>
              <w:t>Koszt</w:t>
            </w:r>
          </w:p>
        </w:tc>
        <w:tc>
          <w:tcPr>
            <w:tcW w:w="1766" w:type="dxa"/>
            <w:shd w:val="clear" w:color="auto" w:fill="4F81BD" w:themeFill="accent1"/>
          </w:tcPr>
          <w:p w:rsidR="00D238F9" w:rsidRPr="002B47D5" w:rsidRDefault="00D238F9" w:rsidP="00ED3014">
            <w:pPr>
              <w:rPr>
                <w:color w:val="FFFFFF" w:themeColor="background1"/>
                <w:sz w:val="18"/>
                <w:szCs w:val="18"/>
              </w:rPr>
            </w:pPr>
            <w:r>
              <w:rPr>
                <w:color w:val="FFFFFF" w:themeColor="background1"/>
                <w:sz w:val="18"/>
                <w:szCs w:val="18"/>
              </w:rPr>
              <w:t>Źródła finansowania</w:t>
            </w:r>
          </w:p>
        </w:tc>
      </w:tr>
      <w:tr w:rsidR="00D238F9" w:rsidRPr="00AC1C2F" w:rsidTr="00ED3014">
        <w:tc>
          <w:tcPr>
            <w:tcW w:w="2011" w:type="dxa"/>
          </w:tcPr>
          <w:p w:rsidR="00D238F9" w:rsidRPr="00AC1C2F" w:rsidRDefault="00D238F9" w:rsidP="00ED3014">
            <w:pPr>
              <w:jc w:val="both"/>
              <w:rPr>
                <w:sz w:val="18"/>
                <w:szCs w:val="18"/>
              </w:rPr>
            </w:pPr>
            <w:r w:rsidRPr="00AC1C2F">
              <w:rPr>
                <w:sz w:val="18"/>
                <w:szCs w:val="18"/>
              </w:rPr>
              <w:t>Preferencyjne warunki nabywania na własność gruntów w użytkowaniu wieczystym</w:t>
            </w:r>
          </w:p>
        </w:tc>
        <w:tc>
          <w:tcPr>
            <w:tcW w:w="2275" w:type="dxa"/>
          </w:tcPr>
          <w:p w:rsidR="00D238F9" w:rsidRPr="00AC1C2F" w:rsidRDefault="00D238F9" w:rsidP="009C1F39">
            <w:pPr>
              <w:jc w:val="both"/>
              <w:rPr>
                <w:sz w:val="18"/>
                <w:szCs w:val="18"/>
              </w:rPr>
            </w:pPr>
            <w:r w:rsidRPr="00AC1C2F">
              <w:rPr>
                <w:sz w:val="18"/>
                <w:szCs w:val="18"/>
              </w:rPr>
              <w:t>Miasto Suwałki</w:t>
            </w:r>
          </w:p>
        </w:tc>
        <w:tc>
          <w:tcPr>
            <w:tcW w:w="1796" w:type="dxa"/>
          </w:tcPr>
          <w:p w:rsidR="00D238F9" w:rsidRPr="00AC1C2F" w:rsidRDefault="00D238F9" w:rsidP="00ED3014">
            <w:pPr>
              <w:jc w:val="both"/>
              <w:rPr>
                <w:sz w:val="18"/>
                <w:szCs w:val="18"/>
              </w:rPr>
            </w:pPr>
            <w:r w:rsidRPr="00AC1C2F">
              <w:rPr>
                <w:sz w:val="18"/>
                <w:szCs w:val="18"/>
              </w:rPr>
              <w:t>Przedsiębiorcy</w:t>
            </w:r>
          </w:p>
        </w:tc>
        <w:tc>
          <w:tcPr>
            <w:tcW w:w="1440" w:type="dxa"/>
          </w:tcPr>
          <w:p w:rsidR="00D238F9" w:rsidRPr="00AC1C2F" w:rsidRDefault="0043757A" w:rsidP="00ED3014">
            <w:pPr>
              <w:jc w:val="both"/>
              <w:rPr>
                <w:sz w:val="18"/>
                <w:szCs w:val="18"/>
              </w:rPr>
            </w:pPr>
            <w:r w:rsidRPr="00AC1C2F">
              <w:rPr>
                <w:sz w:val="18"/>
                <w:szCs w:val="18"/>
              </w:rPr>
              <w:t>W zależności od stawki bonifikaty, która zostanie przyjęta przez Radę Miejską</w:t>
            </w:r>
            <w:r w:rsidR="00AC1C2F">
              <w:rPr>
                <w:sz w:val="18"/>
                <w:szCs w:val="18"/>
              </w:rPr>
              <w:t>.</w:t>
            </w:r>
          </w:p>
        </w:tc>
        <w:tc>
          <w:tcPr>
            <w:tcW w:w="1766" w:type="dxa"/>
          </w:tcPr>
          <w:p w:rsidR="00D238F9" w:rsidRPr="00AC1C2F" w:rsidRDefault="000754CB" w:rsidP="00ED3014">
            <w:pPr>
              <w:jc w:val="both"/>
              <w:rPr>
                <w:sz w:val="18"/>
                <w:szCs w:val="18"/>
              </w:rPr>
            </w:pPr>
            <w:r w:rsidRPr="00AC1C2F">
              <w:rPr>
                <w:sz w:val="18"/>
                <w:szCs w:val="18"/>
              </w:rPr>
              <w:t>Środki własne</w:t>
            </w:r>
          </w:p>
        </w:tc>
      </w:tr>
    </w:tbl>
    <w:p w:rsidR="0043757A" w:rsidRDefault="0043757A" w:rsidP="00D3424D">
      <w:pPr>
        <w:pStyle w:val="Nagwek2"/>
      </w:pPr>
    </w:p>
    <w:p w:rsidR="00D3424D" w:rsidRDefault="00D3424D" w:rsidP="00D3424D">
      <w:pPr>
        <w:pStyle w:val="Nagwek2"/>
      </w:pPr>
      <w:bookmarkStart w:id="39" w:name="_Toc390759490"/>
      <w:r>
        <w:t>Cel operacyjny 1.3 Wzrost znaczenia przemysłów kreatywnych w rozwoju gospodarczym</w:t>
      </w:r>
      <w:r w:rsidR="00F078DA">
        <w:rPr>
          <w:rStyle w:val="Odwoanieprzypisudolnego"/>
        </w:rPr>
        <w:footnoteReference w:id="12"/>
      </w:r>
      <w:bookmarkEnd w:id="39"/>
    </w:p>
    <w:p w:rsidR="00AF2087" w:rsidRDefault="00AF2087" w:rsidP="00AF2087">
      <w:pPr>
        <w:autoSpaceDE w:val="0"/>
        <w:autoSpaceDN w:val="0"/>
        <w:adjustRightInd w:val="0"/>
        <w:spacing w:after="0" w:line="240" w:lineRule="auto"/>
        <w:jc w:val="both"/>
        <w:rPr>
          <w:rFonts w:eastAsia="FranklinGothicMedium" w:cs="Times New Roman"/>
        </w:rPr>
      </w:pPr>
    </w:p>
    <w:p w:rsidR="00AF2087" w:rsidRDefault="00AF2087" w:rsidP="00AF2087">
      <w:pPr>
        <w:autoSpaceDE w:val="0"/>
        <w:autoSpaceDN w:val="0"/>
        <w:adjustRightInd w:val="0"/>
        <w:spacing w:after="0" w:line="240" w:lineRule="auto"/>
        <w:jc w:val="both"/>
        <w:rPr>
          <w:rFonts w:eastAsia="FranklinGothicMedium" w:cs="Times New Roman"/>
        </w:rPr>
      </w:pPr>
      <w:r>
        <w:rPr>
          <w:rFonts w:eastAsia="FranklinGothicMedium" w:cs="Times New Roman"/>
        </w:rPr>
        <w:t>Zgodnie ze strategią jednym z atutów Suwałk jest historia miasta, które było zamieszkiwane przez przedstawicieli wielu narodowości i wielu wy</w:t>
      </w:r>
      <w:r w:rsidR="00A221AB">
        <w:rPr>
          <w:rFonts w:eastAsia="FranklinGothicMedium" w:cs="Times New Roman"/>
        </w:rPr>
        <w:t xml:space="preserve">znań. Wielokulturowość stanowi </w:t>
      </w:r>
      <w:r>
        <w:rPr>
          <w:rFonts w:eastAsia="FranklinGothicMedium" w:cs="Times New Roman"/>
        </w:rPr>
        <w:t xml:space="preserve">o odrębności Suwałk </w:t>
      </w:r>
      <w:r w:rsidR="00A221AB">
        <w:rPr>
          <w:rFonts w:eastAsia="FranklinGothicMedium" w:cs="Times New Roman"/>
        </w:rPr>
        <w:br/>
      </w:r>
      <w:r>
        <w:rPr>
          <w:rFonts w:eastAsia="FranklinGothicMedium" w:cs="Times New Roman"/>
        </w:rPr>
        <w:t>i Suwalszczyzny</w:t>
      </w:r>
      <w:r w:rsidR="00E502B3">
        <w:rPr>
          <w:rFonts w:eastAsia="FranklinGothicMedium" w:cs="Times New Roman"/>
        </w:rPr>
        <w:t>,</w:t>
      </w:r>
      <w:r>
        <w:rPr>
          <w:rFonts w:eastAsia="FranklinGothicMedium" w:cs="Times New Roman"/>
        </w:rPr>
        <w:t xml:space="preserve"> będąc inspiracją dla artystów i twórców pochodzących z tego obszaru. </w:t>
      </w:r>
    </w:p>
    <w:p w:rsidR="00AF2087" w:rsidRDefault="00AF2087" w:rsidP="00AF2087">
      <w:pPr>
        <w:autoSpaceDE w:val="0"/>
        <w:autoSpaceDN w:val="0"/>
        <w:adjustRightInd w:val="0"/>
        <w:spacing w:after="0" w:line="240" w:lineRule="auto"/>
        <w:jc w:val="both"/>
        <w:rPr>
          <w:rFonts w:eastAsia="FranklinGothicMedium" w:cs="Times New Roman"/>
        </w:rPr>
      </w:pPr>
    </w:p>
    <w:p w:rsidR="00AF2087" w:rsidRDefault="00AF2087" w:rsidP="00AF2087">
      <w:pPr>
        <w:autoSpaceDE w:val="0"/>
        <w:autoSpaceDN w:val="0"/>
        <w:adjustRightInd w:val="0"/>
        <w:spacing w:after="0" w:line="240" w:lineRule="auto"/>
        <w:jc w:val="both"/>
        <w:rPr>
          <w:rFonts w:ascii="Calibri" w:hAnsi="Calibri" w:cs="Calibri"/>
        </w:rPr>
      </w:pPr>
      <w:r>
        <w:rPr>
          <w:rFonts w:eastAsia="FranklinGothicMedium" w:cs="Times New Roman"/>
        </w:rPr>
        <w:t xml:space="preserve">Bogactwo kulturowe Suwalszczyzny może stać się podstawą do rozwoju przedsiębiorczości wykorzystującej ten potencjał. Strategia rozwoju miasta stwierdza wprost: „Suwałki </w:t>
      </w:r>
      <w:r>
        <w:rPr>
          <w:rFonts w:ascii="Calibri" w:hAnsi="Calibri" w:cs="Calibri"/>
        </w:rPr>
        <w:t>dysponują potencjałem do rozwoju przemysłów kreatywnych, w oparciu o działalność kulturową licznych środowisk artystycznych oraz bogate tradycje regionu Suwalszczyzny. Wymaga on jednak znacznego wsparcia, tak by działania pojedynczych</w:t>
      </w:r>
      <w:r w:rsidRPr="004B558C">
        <w:rPr>
          <w:rFonts w:ascii="Calibri" w:hAnsi="Calibri" w:cs="Calibri"/>
        </w:rPr>
        <w:t xml:space="preserve"> </w:t>
      </w:r>
      <w:r>
        <w:rPr>
          <w:rFonts w:ascii="Calibri" w:hAnsi="Calibri" w:cs="Calibri"/>
        </w:rPr>
        <w:t>podmiotów służyły budowie znaczenia sektora w całej strukturze gospodarczej Miasta”.</w:t>
      </w:r>
    </w:p>
    <w:p w:rsidR="00AF2087" w:rsidRDefault="00AF2087" w:rsidP="00AF2087">
      <w:pPr>
        <w:autoSpaceDE w:val="0"/>
        <w:autoSpaceDN w:val="0"/>
        <w:adjustRightInd w:val="0"/>
        <w:spacing w:after="0" w:line="240" w:lineRule="auto"/>
        <w:jc w:val="both"/>
        <w:rPr>
          <w:rFonts w:eastAsia="FranklinGothicMedium" w:cs="Times New Roman"/>
        </w:rPr>
      </w:pPr>
    </w:p>
    <w:p w:rsidR="00695130" w:rsidRDefault="00FC3E45" w:rsidP="00695130">
      <w:pPr>
        <w:jc w:val="both"/>
      </w:pPr>
      <w:r>
        <w:t>Cel będzie wdrażany przez następujące kierunki działań:</w:t>
      </w:r>
    </w:p>
    <w:p w:rsidR="00695130" w:rsidRPr="00695130" w:rsidRDefault="00695130" w:rsidP="00695130">
      <w:pPr>
        <w:jc w:val="both"/>
      </w:pPr>
    </w:p>
    <w:p w:rsidR="00FC3E45" w:rsidRDefault="00FC3E45" w:rsidP="00FC3E45">
      <w:pPr>
        <w:pStyle w:val="Nagwek3"/>
        <w:rPr>
          <w:rFonts w:eastAsia="FranklinGothicMedium"/>
        </w:rPr>
      </w:pPr>
      <w:bookmarkStart w:id="40" w:name="_Toc390759491"/>
      <w:r>
        <w:rPr>
          <w:rFonts w:eastAsia="FranklinGothicMedium"/>
        </w:rPr>
        <w:t xml:space="preserve">1.3.1. Sieć współpracy </w:t>
      </w:r>
      <w:r w:rsidRPr="00FC3E45">
        <w:rPr>
          <w:rFonts w:eastAsia="FranklinGothicMedium" w:cs="Times New Roman"/>
        </w:rPr>
        <w:t>między podmiotami sektora kreatywnego</w:t>
      </w:r>
      <w:bookmarkEnd w:id="40"/>
    </w:p>
    <w:p w:rsidR="00AF2087" w:rsidRDefault="00AF2087" w:rsidP="00AF2087">
      <w:pPr>
        <w:autoSpaceDE w:val="0"/>
        <w:autoSpaceDN w:val="0"/>
        <w:adjustRightInd w:val="0"/>
        <w:spacing w:after="0" w:line="240" w:lineRule="auto"/>
        <w:jc w:val="both"/>
        <w:rPr>
          <w:rFonts w:eastAsia="FranklinGothicMedium" w:cs="Times New Roman"/>
          <w:b/>
        </w:rPr>
      </w:pPr>
      <w:r>
        <w:rPr>
          <w:rFonts w:eastAsia="FranklinGothicMedium" w:cs="Times New Roman"/>
        </w:rPr>
        <w:t xml:space="preserve">Jedną z koncepcji rozwijającą znaczenie przemysłów kreatywnych w mieście jest </w:t>
      </w:r>
      <w:r w:rsidRPr="00D4651A">
        <w:rPr>
          <w:rFonts w:eastAsia="FranklinGothicMedium" w:cs="Times New Roman"/>
          <w:b/>
        </w:rPr>
        <w:t>stworzenie sieci współpracy między podmiotami sektora kreatywnego</w:t>
      </w:r>
      <w:r>
        <w:rPr>
          <w:rFonts w:eastAsia="FranklinGothicMedium" w:cs="Times New Roman"/>
          <w:b/>
        </w:rPr>
        <w:t xml:space="preserve">, </w:t>
      </w:r>
      <w:r>
        <w:rPr>
          <w:rFonts w:eastAsia="FranklinGothicMedium" w:cs="Times New Roman"/>
        </w:rPr>
        <w:t>twórcami i artystami z jednej strony i przedstawicielami przemysłów kreatywnych, grafikami , osobami zajmującymi się sztuką użytkową.</w:t>
      </w:r>
      <w:r>
        <w:rPr>
          <w:rFonts w:eastAsia="FranklinGothicMedium" w:cs="Times New Roman"/>
          <w:b/>
        </w:rPr>
        <w:t xml:space="preserve"> </w:t>
      </w:r>
    </w:p>
    <w:p w:rsidR="00AF2087" w:rsidRDefault="00AF2087" w:rsidP="00AF2087">
      <w:pPr>
        <w:autoSpaceDE w:val="0"/>
        <w:autoSpaceDN w:val="0"/>
        <w:adjustRightInd w:val="0"/>
        <w:spacing w:after="0" w:line="240" w:lineRule="auto"/>
        <w:jc w:val="both"/>
        <w:rPr>
          <w:rFonts w:eastAsia="FranklinGothicMedium" w:cs="Times New Roman"/>
          <w:b/>
        </w:rPr>
      </w:pPr>
    </w:p>
    <w:p w:rsidR="00AF2087" w:rsidRDefault="00AF2087" w:rsidP="00AF2087">
      <w:pPr>
        <w:autoSpaceDE w:val="0"/>
        <w:autoSpaceDN w:val="0"/>
        <w:adjustRightInd w:val="0"/>
        <w:spacing w:after="0" w:line="240" w:lineRule="auto"/>
        <w:jc w:val="both"/>
        <w:rPr>
          <w:rFonts w:eastAsia="FranklinGothicMedium" w:cs="Times New Roman"/>
        </w:rPr>
      </w:pPr>
      <w:r w:rsidRPr="00033D09">
        <w:rPr>
          <w:rFonts w:eastAsia="FranklinGothicMedium" w:cs="Times New Roman"/>
        </w:rPr>
        <w:t xml:space="preserve">W tym celu </w:t>
      </w:r>
      <w:r>
        <w:rPr>
          <w:rFonts w:eastAsia="FranklinGothicMedium" w:cs="Times New Roman"/>
        </w:rPr>
        <w:t xml:space="preserve">przewiduje się zapoczątkowanie tej współpracy poprzez  zorganizowanie </w:t>
      </w:r>
      <w:r w:rsidRPr="00BA58FD">
        <w:rPr>
          <w:rFonts w:eastAsia="FranklinGothicMedium" w:cs="Times New Roman"/>
          <w:b/>
        </w:rPr>
        <w:t>konferenc</w:t>
      </w:r>
      <w:r w:rsidRPr="004E179C">
        <w:rPr>
          <w:rFonts w:eastAsia="FranklinGothicMedium" w:cs="Times New Roman"/>
          <w:b/>
        </w:rPr>
        <w:t xml:space="preserve">ji </w:t>
      </w:r>
      <w:r>
        <w:rPr>
          <w:rFonts w:eastAsia="FranklinGothicMedium" w:cs="Times New Roman"/>
        </w:rPr>
        <w:t xml:space="preserve">dla przedstawicieli tego sektora a następnie, w przypadku zainteresowania ze strony środowiska, </w:t>
      </w:r>
      <w:r w:rsidRPr="00BA58FD">
        <w:rPr>
          <w:rFonts w:eastAsia="FranklinGothicMedium" w:cs="Times New Roman"/>
          <w:b/>
        </w:rPr>
        <w:t>prowadzenie warsztatów i szkoleń</w:t>
      </w:r>
      <w:r>
        <w:rPr>
          <w:rFonts w:eastAsia="FranklinGothicMedium" w:cs="Times New Roman"/>
        </w:rPr>
        <w:t xml:space="preserve"> dla przedstawicieli sektora kreatywnego z zakresu </w:t>
      </w:r>
      <w:r w:rsidRPr="00255643">
        <w:rPr>
          <w:rFonts w:eastAsia="FranklinGothicMedium" w:cs="Times New Roman"/>
        </w:rPr>
        <w:t xml:space="preserve">marketingu, sprzedaży, przedsiębiorczości, prowadzących działalność gospodarczą lub zamierzających podjąć działalność gospodarczą. </w:t>
      </w:r>
      <w:r>
        <w:rPr>
          <w:rFonts w:eastAsia="FranklinGothicMedium" w:cs="Times New Roman"/>
        </w:rPr>
        <w:t>Do współpracy należy zaprosić podmioty z całego regionu Polski północno-wschodniej.</w:t>
      </w:r>
    </w:p>
    <w:p w:rsidR="00AF2087" w:rsidRPr="00D4651A" w:rsidRDefault="00AF2087" w:rsidP="00AF2087">
      <w:pPr>
        <w:autoSpaceDE w:val="0"/>
        <w:autoSpaceDN w:val="0"/>
        <w:adjustRightInd w:val="0"/>
        <w:spacing w:after="0" w:line="240" w:lineRule="auto"/>
        <w:jc w:val="both"/>
        <w:rPr>
          <w:rFonts w:eastAsia="FranklinGothicMedium" w:cs="Times New Roman"/>
          <w:highlight w:val="yellow"/>
        </w:rPr>
      </w:pPr>
    </w:p>
    <w:p w:rsidR="00AF2087" w:rsidRDefault="00AF2087" w:rsidP="00AF2087">
      <w:pPr>
        <w:autoSpaceDE w:val="0"/>
        <w:autoSpaceDN w:val="0"/>
        <w:adjustRightInd w:val="0"/>
        <w:spacing w:after="0" w:line="240" w:lineRule="auto"/>
        <w:jc w:val="both"/>
        <w:rPr>
          <w:rFonts w:eastAsia="FranklinGothicMedium" w:cs="Times New Roman"/>
        </w:rPr>
      </w:pPr>
      <w:r>
        <w:rPr>
          <w:rFonts w:eastAsia="FranklinGothicMedium" w:cs="Times New Roman"/>
        </w:rPr>
        <w:t>W dalszej kolejności przewiduje się</w:t>
      </w:r>
      <w:r w:rsidR="00BA58FD">
        <w:rPr>
          <w:rFonts w:eastAsia="FranklinGothicMedium" w:cs="Times New Roman"/>
        </w:rPr>
        <w:t xml:space="preserve"> wypromowanie jednej, </w:t>
      </w:r>
      <w:r w:rsidR="00BA58FD" w:rsidRPr="00BA58FD">
        <w:rPr>
          <w:rFonts w:eastAsia="FranklinGothicMedium" w:cs="Times New Roman"/>
          <w:b/>
        </w:rPr>
        <w:t>cyklicznej imprezy dla</w:t>
      </w:r>
      <w:r w:rsidRPr="00BA58FD">
        <w:rPr>
          <w:rFonts w:eastAsia="FranklinGothicMedium" w:cs="Times New Roman"/>
          <w:b/>
        </w:rPr>
        <w:t xml:space="preserve"> przedstawicieli sektora kreatywnego</w:t>
      </w:r>
      <w:r>
        <w:rPr>
          <w:rFonts w:eastAsia="FranklinGothicMedium" w:cs="Times New Roman"/>
        </w:rPr>
        <w:t xml:space="preserve"> z obszaru Polski północno-wschodniej</w:t>
      </w:r>
      <w:r w:rsidR="009C1F39">
        <w:rPr>
          <w:rFonts w:eastAsia="FranklinGothicMedium" w:cs="Times New Roman"/>
        </w:rPr>
        <w:t>,</w:t>
      </w:r>
      <w:r>
        <w:rPr>
          <w:rFonts w:eastAsia="FranklinGothicMedium" w:cs="Times New Roman"/>
        </w:rPr>
        <w:t xml:space="preserve"> jak również innych obszarów kraju. Założenie</w:t>
      </w:r>
      <w:r w:rsidR="00BA58FD">
        <w:rPr>
          <w:rFonts w:eastAsia="FranklinGothicMedium" w:cs="Times New Roman"/>
        </w:rPr>
        <w:t>m tego</w:t>
      </w:r>
      <w:r>
        <w:rPr>
          <w:rFonts w:eastAsia="FranklinGothicMedium" w:cs="Times New Roman"/>
        </w:rPr>
        <w:t xml:space="preserve"> </w:t>
      </w:r>
      <w:r w:rsidR="00BA58FD">
        <w:rPr>
          <w:rFonts w:eastAsia="FranklinGothicMedium" w:cs="Times New Roman"/>
        </w:rPr>
        <w:t xml:space="preserve">wydarzenia </w:t>
      </w:r>
      <w:r>
        <w:rPr>
          <w:rFonts w:eastAsia="FranklinGothicMedium" w:cs="Times New Roman"/>
        </w:rPr>
        <w:t>będzie stworzenie platformy współpracy oraz wymiany doświadczeń w środowisku.</w:t>
      </w:r>
      <w:r w:rsidRPr="00255643">
        <w:rPr>
          <w:rFonts w:eastAsia="FranklinGothicMedium" w:cs="Times New Roman"/>
        </w:rPr>
        <w:t xml:space="preserve"> </w:t>
      </w:r>
    </w:p>
    <w:p w:rsidR="00AF2087" w:rsidRDefault="00AF2087" w:rsidP="00AF2087">
      <w:pPr>
        <w:autoSpaceDE w:val="0"/>
        <w:autoSpaceDN w:val="0"/>
        <w:adjustRightInd w:val="0"/>
        <w:spacing w:after="0" w:line="240" w:lineRule="auto"/>
        <w:jc w:val="both"/>
        <w:rPr>
          <w:rFonts w:eastAsia="FranklinGothicMedium" w:cs="Times New Roman"/>
        </w:rPr>
      </w:pPr>
    </w:p>
    <w:p w:rsidR="00FC04A1" w:rsidRDefault="00AF2087" w:rsidP="00AF2087">
      <w:pPr>
        <w:autoSpaceDE w:val="0"/>
        <w:autoSpaceDN w:val="0"/>
        <w:adjustRightInd w:val="0"/>
        <w:spacing w:after="0" w:line="240" w:lineRule="auto"/>
        <w:jc w:val="both"/>
        <w:rPr>
          <w:rFonts w:eastAsia="FranklinGothicMedium" w:cs="Times New Roman"/>
        </w:rPr>
      </w:pPr>
      <w:r>
        <w:rPr>
          <w:rFonts w:eastAsia="FranklinGothicMedium" w:cs="Times New Roman"/>
        </w:rPr>
        <w:t xml:space="preserve">W przypadku zainteresowania ze strony podmiotów działających w obszarze kreatywności przewiduje się </w:t>
      </w:r>
      <w:r w:rsidRPr="00BA58FD">
        <w:rPr>
          <w:rFonts w:eastAsia="FranklinGothicMedium" w:cs="Times New Roman"/>
          <w:b/>
        </w:rPr>
        <w:t xml:space="preserve">powołanie Północno-Wschodniego </w:t>
      </w:r>
      <w:proofErr w:type="spellStart"/>
      <w:r w:rsidRPr="00BA58FD">
        <w:rPr>
          <w:rFonts w:eastAsia="FranklinGothicMedium" w:cs="Times New Roman"/>
          <w:b/>
        </w:rPr>
        <w:t>Klastra</w:t>
      </w:r>
      <w:proofErr w:type="spellEnd"/>
      <w:r w:rsidRPr="00BA58FD">
        <w:rPr>
          <w:rFonts w:eastAsia="FranklinGothicMedium" w:cs="Times New Roman"/>
          <w:b/>
        </w:rPr>
        <w:t xml:space="preserve"> Kreatywności</w:t>
      </w:r>
      <w:r>
        <w:rPr>
          <w:rStyle w:val="Odwoanieprzypisudolnego"/>
          <w:rFonts w:eastAsia="FranklinGothicMedium" w:cs="Times New Roman"/>
        </w:rPr>
        <w:footnoteReference w:id="13"/>
      </w:r>
      <w:r>
        <w:rPr>
          <w:rFonts w:eastAsia="FranklinGothicMedium" w:cs="Times New Roman"/>
        </w:rPr>
        <w:t>. Biorąc pod uwagę szczególny potencjał kulturowy Suwalszczyzny, Suwałki mają szansę stać się centrum przemysłów kreatywnych w tej części kraju i jednym z liderów w Polsce.</w:t>
      </w:r>
    </w:p>
    <w:p w:rsidR="00FC04A1" w:rsidRDefault="00FC04A1" w:rsidP="00AF2087">
      <w:pPr>
        <w:autoSpaceDE w:val="0"/>
        <w:autoSpaceDN w:val="0"/>
        <w:adjustRightInd w:val="0"/>
        <w:spacing w:after="0" w:line="240" w:lineRule="auto"/>
        <w:jc w:val="both"/>
        <w:rPr>
          <w:rFonts w:eastAsia="FranklinGothicMedium" w:cs="Times New Roman"/>
        </w:rPr>
      </w:pPr>
    </w:p>
    <w:p w:rsidR="00AF2087" w:rsidRDefault="00FC04A1" w:rsidP="00AF2087">
      <w:pPr>
        <w:autoSpaceDE w:val="0"/>
        <w:autoSpaceDN w:val="0"/>
        <w:adjustRightInd w:val="0"/>
        <w:spacing w:after="0" w:line="240" w:lineRule="auto"/>
        <w:jc w:val="both"/>
        <w:rPr>
          <w:rFonts w:eastAsia="FranklinGothicMedium" w:cs="Times New Roman"/>
        </w:rPr>
      </w:pPr>
      <w:r>
        <w:rPr>
          <w:rFonts w:eastAsia="FranklinGothicMedium" w:cs="Times New Roman"/>
        </w:rPr>
        <w:t>Suwałki i Suwalszczyzna poprzez dobrze rozwiniętą sieć usług publicznych oraz piękną naturę mogą stać się doskonałym miejscem do życia i pracy dla osób z sektora kreatywnego, których zna</w:t>
      </w:r>
      <w:r w:rsidR="009C1F39">
        <w:rPr>
          <w:rFonts w:eastAsia="FranklinGothicMedium" w:cs="Times New Roman"/>
        </w:rPr>
        <w:t>czna</w:t>
      </w:r>
      <w:r>
        <w:rPr>
          <w:rFonts w:eastAsia="FranklinGothicMedium" w:cs="Times New Roman"/>
        </w:rPr>
        <w:t xml:space="preserve"> część prowadzi działalność gospodarczą za pomocą </w:t>
      </w:r>
      <w:proofErr w:type="spellStart"/>
      <w:r w:rsidR="007D75AD">
        <w:rPr>
          <w:rFonts w:eastAsia="FranklinGothicMedium" w:cs="Times New Roman"/>
        </w:rPr>
        <w:t>i</w:t>
      </w:r>
      <w:r>
        <w:rPr>
          <w:rFonts w:eastAsia="FranklinGothicMedium" w:cs="Times New Roman"/>
        </w:rPr>
        <w:t>nternetu</w:t>
      </w:r>
      <w:proofErr w:type="spellEnd"/>
      <w:r>
        <w:rPr>
          <w:rFonts w:eastAsia="FranklinGothicMedium" w:cs="Times New Roman"/>
        </w:rPr>
        <w:t>.</w:t>
      </w:r>
      <w:r w:rsidR="00AF2087">
        <w:rPr>
          <w:rFonts w:eastAsia="FranklinGothicMedium" w:cs="Times New Roman"/>
        </w:rPr>
        <w:t xml:space="preserve"> </w:t>
      </w:r>
    </w:p>
    <w:p w:rsidR="00AF2087" w:rsidRDefault="00FC04A1" w:rsidP="00FC04A1">
      <w:pPr>
        <w:tabs>
          <w:tab w:val="left" w:pos="5280"/>
        </w:tabs>
        <w:autoSpaceDE w:val="0"/>
        <w:autoSpaceDN w:val="0"/>
        <w:adjustRightInd w:val="0"/>
        <w:spacing w:after="0" w:line="240" w:lineRule="auto"/>
        <w:jc w:val="both"/>
        <w:rPr>
          <w:rFonts w:eastAsia="FranklinGothicMedium" w:cs="Times New Roman"/>
        </w:rPr>
      </w:pPr>
      <w:r>
        <w:rPr>
          <w:rFonts w:eastAsia="FranklinGothicMedium" w:cs="Times New Roman"/>
        </w:rPr>
        <w:tab/>
      </w:r>
    </w:p>
    <w:p w:rsidR="00AF2087" w:rsidRDefault="00AF2087" w:rsidP="00AF2087">
      <w:pPr>
        <w:autoSpaceDE w:val="0"/>
        <w:autoSpaceDN w:val="0"/>
        <w:adjustRightInd w:val="0"/>
        <w:spacing w:after="0" w:line="240" w:lineRule="auto"/>
        <w:jc w:val="both"/>
        <w:rPr>
          <w:rFonts w:eastAsia="FranklinGothicMedium" w:cs="Times New Roman"/>
        </w:rPr>
      </w:pPr>
      <w:r>
        <w:rPr>
          <w:rFonts w:eastAsia="FranklinGothicMedium" w:cs="Times New Roman"/>
        </w:rPr>
        <w:t xml:space="preserve">Niewątpliwym atutem Suwałk pozwalającym myśleć o tworzeniu i rozwoju tego typu inicjatywy, oprócz środowiska twórców, potencjału kulturowego pogranicza oraz rozwijających się firm z branży IT, jest baza Suwalskiego Ośrodka Kultury oraz Państwowej Szkoły Muzycznej I </w:t>
      </w:r>
      <w:proofErr w:type="spellStart"/>
      <w:r>
        <w:rPr>
          <w:rFonts w:eastAsia="FranklinGothicMedium" w:cs="Times New Roman"/>
        </w:rPr>
        <w:t>i</w:t>
      </w:r>
      <w:proofErr w:type="spellEnd"/>
      <w:r>
        <w:rPr>
          <w:rFonts w:eastAsia="FranklinGothicMedium" w:cs="Times New Roman"/>
        </w:rPr>
        <w:t xml:space="preserve"> II stopnia, w oparciu o które można integrować przedstawicieli przemysłów kreatywnych na Suwalszczyźnie i generować korzyści ekonomiczne.</w:t>
      </w:r>
    </w:p>
    <w:p w:rsidR="00A7457A" w:rsidRDefault="00A7457A" w:rsidP="00AF2087">
      <w:pPr>
        <w:autoSpaceDE w:val="0"/>
        <w:autoSpaceDN w:val="0"/>
        <w:adjustRightInd w:val="0"/>
        <w:spacing w:after="0" w:line="240" w:lineRule="auto"/>
        <w:jc w:val="both"/>
        <w:rPr>
          <w:rFonts w:eastAsia="FranklinGothicMedium" w:cs="Times New Roman"/>
        </w:rPr>
      </w:pPr>
    </w:p>
    <w:p w:rsidR="00E67C33" w:rsidRDefault="00661640" w:rsidP="00AF2087">
      <w:pPr>
        <w:autoSpaceDE w:val="0"/>
        <w:autoSpaceDN w:val="0"/>
        <w:adjustRightInd w:val="0"/>
        <w:spacing w:after="0" w:line="240" w:lineRule="auto"/>
        <w:jc w:val="both"/>
        <w:rPr>
          <w:rFonts w:eastAsia="FranklinGothicMedium" w:cs="Times New Roman"/>
        </w:rPr>
      </w:pPr>
      <w:r>
        <w:rPr>
          <w:rFonts w:eastAsia="FranklinGothicMedium" w:cs="Times New Roman"/>
        </w:rPr>
        <w:t xml:space="preserve">Jednocześnie przedstawiciele sektora kreatywnego będą mogli uzyskać </w:t>
      </w:r>
      <w:r w:rsidRPr="00A7457A">
        <w:rPr>
          <w:rFonts w:eastAsia="FranklinGothicMedium" w:cs="Times New Roman"/>
          <w:b/>
        </w:rPr>
        <w:t xml:space="preserve">wsparcie ze strony </w:t>
      </w:r>
      <w:r w:rsidR="00A7457A" w:rsidRPr="00A7457A">
        <w:rPr>
          <w:rFonts w:eastAsia="FranklinGothicMedium" w:cs="Times New Roman"/>
          <w:b/>
        </w:rPr>
        <w:t>Parku NT</w:t>
      </w:r>
      <w:r w:rsidR="00A7457A">
        <w:rPr>
          <w:rFonts w:eastAsia="FranklinGothicMedium" w:cs="Times New Roman"/>
        </w:rPr>
        <w:t xml:space="preserve"> </w:t>
      </w:r>
      <w:r>
        <w:rPr>
          <w:rFonts w:eastAsia="FranklinGothicMedium" w:cs="Times New Roman"/>
        </w:rPr>
        <w:t>w kwestiach praktycznych związanych z prowadzeniem działalności gospodarczej, w zarządzaniu</w:t>
      </w:r>
      <w:r w:rsidR="00A7457A">
        <w:rPr>
          <w:rFonts w:eastAsia="FranklinGothicMedium" w:cs="Times New Roman"/>
        </w:rPr>
        <w:t xml:space="preserve"> prawami własności intelektualnej, ochrony patentowej oraz nawiązaniu kontaktów </w:t>
      </w:r>
      <w:r w:rsidR="00A7457A">
        <w:rPr>
          <w:rFonts w:eastAsia="FranklinGothicMedium" w:cs="Times New Roman"/>
        </w:rPr>
        <w:br/>
        <w:t>z przedstawicielami biznesu potencjalnie zainteresowanymi ich usługami.</w:t>
      </w:r>
    </w:p>
    <w:p w:rsidR="00BA58FD" w:rsidRDefault="00BA58FD" w:rsidP="00AF2087">
      <w:pPr>
        <w:autoSpaceDE w:val="0"/>
        <w:autoSpaceDN w:val="0"/>
        <w:adjustRightInd w:val="0"/>
        <w:spacing w:after="0" w:line="240" w:lineRule="auto"/>
        <w:jc w:val="both"/>
        <w:rPr>
          <w:rFonts w:eastAsia="FranklinGothicMedium" w:cs="Times New Roman"/>
        </w:rPr>
      </w:pPr>
    </w:p>
    <w:p w:rsidR="0043757A" w:rsidRDefault="0043757A" w:rsidP="00AF2087">
      <w:pPr>
        <w:autoSpaceDE w:val="0"/>
        <w:autoSpaceDN w:val="0"/>
        <w:adjustRightInd w:val="0"/>
        <w:spacing w:after="0" w:line="240" w:lineRule="auto"/>
        <w:jc w:val="both"/>
        <w:rPr>
          <w:rFonts w:eastAsia="FranklinGothicMedium" w:cs="Times New Roman"/>
        </w:rPr>
      </w:pPr>
    </w:p>
    <w:p w:rsidR="0043757A" w:rsidRDefault="0043757A" w:rsidP="00AF2087">
      <w:pPr>
        <w:autoSpaceDE w:val="0"/>
        <w:autoSpaceDN w:val="0"/>
        <w:adjustRightInd w:val="0"/>
        <w:spacing w:after="0" w:line="240" w:lineRule="auto"/>
        <w:jc w:val="both"/>
        <w:rPr>
          <w:rFonts w:eastAsia="FranklinGothicMedium" w:cs="Times New Roman"/>
        </w:rPr>
      </w:pPr>
    </w:p>
    <w:p w:rsidR="0043757A" w:rsidRDefault="0043757A" w:rsidP="00AF2087">
      <w:pPr>
        <w:autoSpaceDE w:val="0"/>
        <w:autoSpaceDN w:val="0"/>
        <w:adjustRightInd w:val="0"/>
        <w:spacing w:after="0" w:line="240" w:lineRule="auto"/>
        <w:jc w:val="both"/>
        <w:rPr>
          <w:rFonts w:eastAsia="FranklinGothicMedium" w:cs="Times New Roman"/>
        </w:rPr>
      </w:pPr>
    </w:p>
    <w:p w:rsidR="0043757A" w:rsidRDefault="0043757A" w:rsidP="00AF2087">
      <w:pPr>
        <w:autoSpaceDE w:val="0"/>
        <w:autoSpaceDN w:val="0"/>
        <w:adjustRightInd w:val="0"/>
        <w:spacing w:after="0" w:line="240" w:lineRule="auto"/>
        <w:jc w:val="both"/>
        <w:rPr>
          <w:rFonts w:eastAsia="FranklinGothicMedium" w:cs="Times New Roman"/>
        </w:rPr>
      </w:pPr>
    </w:p>
    <w:tbl>
      <w:tblPr>
        <w:tblStyle w:val="Tabela-Siatka"/>
        <w:tblW w:w="0" w:type="auto"/>
        <w:tblLook w:val="04A0"/>
      </w:tblPr>
      <w:tblGrid>
        <w:gridCol w:w="2045"/>
        <w:gridCol w:w="2258"/>
        <w:gridCol w:w="1812"/>
        <w:gridCol w:w="1418"/>
        <w:gridCol w:w="1755"/>
      </w:tblGrid>
      <w:tr w:rsidR="00FC3E45" w:rsidRPr="002B47D5" w:rsidTr="00ED3014">
        <w:tc>
          <w:tcPr>
            <w:tcW w:w="2045" w:type="dxa"/>
            <w:shd w:val="clear" w:color="auto" w:fill="4F81BD" w:themeFill="accent1"/>
          </w:tcPr>
          <w:p w:rsidR="00FC3E45" w:rsidRPr="002B47D5" w:rsidRDefault="00FC3E45" w:rsidP="00ED3014">
            <w:pPr>
              <w:rPr>
                <w:color w:val="FFFFFF" w:themeColor="background1"/>
                <w:sz w:val="18"/>
                <w:szCs w:val="18"/>
              </w:rPr>
            </w:pPr>
            <w:r>
              <w:rPr>
                <w:color w:val="FFFFFF" w:themeColor="background1"/>
                <w:sz w:val="18"/>
                <w:szCs w:val="18"/>
              </w:rPr>
              <w:t>Działanie</w:t>
            </w:r>
          </w:p>
        </w:tc>
        <w:tc>
          <w:tcPr>
            <w:tcW w:w="2258" w:type="dxa"/>
            <w:shd w:val="clear" w:color="auto" w:fill="4F81BD" w:themeFill="accent1"/>
          </w:tcPr>
          <w:p w:rsidR="00FC3E45" w:rsidRPr="002B47D5" w:rsidRDefault="00FC3E45" w:rsidP="00ED3014">
            <w:pPr>
              <w:rPr>
                <w:color w:val="FFFFFF" w:themeColor="background1"/>
                <w:sz w:val="18"/>
                <w:szCs w:val="18"/>
              </w:rPr>
            </w:pPr>
            <w:r>
              <w:rPr>
                <w:color w:val="FFFFFF" w:themeColor="background1"/>
                <w:sz w:val="18"/>
                <w:szCs w:val="18"/>
              </w:rPr>
              <w:t>Podmioty odpowiedzialne</w:t>
            </w:r>
          </w:p>
        </w:tc>
        <w:tc>
          <w:tcPr>
            <w:tcW w:w="1812" w:type="dxa"/>
            <w:shd w:val="clear" w:color="auto" w:fill="4F81BD" w:themeFill="accent1"/>
          </w:tcPr>
          <w:p w:rsidR="00FC3E45" w:rsidRPr="002B47D5" w:rsidRDefault="00FC3E45" w:rsidP="00ED3014">
            <w:pPr>
              <w:rPr>
                <w:color w:val="FFFFFF" w:themeColor="background1"/>
                <w:sz w:val="18"/>
                <w:szCs w:val="18"/>
              </w:rPr>
            </w:pPr>
            <w:r>
              <w:rPr>
                <w:color w:val="FFFFFF" w:themeColor="background1"/>
                <w:sz w:val="18"/>
                <w:szCs w:val="18"/>
              </w:rPr>
              <w:t>Grupy docelowe</w:t>
            </w:r>
          </w:p>
        </w:tc>
        <w:tc>
          <w:tcPr>
            <w:tcW w:w="1418" w:type="dxa"/>
            <w:shd w:val="clear" w:color="auto" w:fill="4F81BD" w:themeFill="accent1"/>
          </w:tcPr>
          <w:p w:rsidR="00FC3E45" w:rsidRDefault="00FC3E45" w:rsidP="00ED3014">
            <w:pPr>
              <w:rPr>
                <w:color w:val="FFFFFF" w:themeColor="background1"/>
                <w:sz w:val="18"/>
                <w:szCs w:val="18"/>
              </w:rPr>
            </w:pPr>
            <w:r>
              <w:rPr>
                <w:color w:val="FFFFFF" w:themeColor="background1"/>
                <w:sz w:val="18"/>
                <w:szCs w:val="18"/>
              </w:rPr>
              <w:t>Koszt</w:t>
            </w:r>
          </w:p>
        </w:tc>
        <w:tc>
          <w:tcPr>
            <w:tcW w:w="1755" w:type="dxa"/>
            <w:shd w:val="clear" w:color="auto" w:fill="4F81BD" w:themeFill="accent1"/>
          </w:tcPr>
          <w:p w:rsidR="00FC3E45" w:rsidRPr="002B47D5" w:rsidRDefault="00FC3E45" w:rsidP="00ED3014">
            <w:pPr>
              <w:rPr>
                <w:color w:val="FFFFFF" w:themeColor="background1"/>
                <w:sz w:val="18"/>
                <w:szCs w:val="18"/>
              </w:rPr>
            </w:pPr>
            <w:r>
              <w:rPr>
                <w:color w:val="FFFFFF" w:themeColor="background1"/>
                <w:sz w:val="18"/>
                <w:szCs w:val="18"/>
              </w:rPr>
              <w:t>Źródła finansowania</w:t>
            </w:r>
          </w:p>
        </w:tc>
      </w:tr>
      <w:tr w:rsidR="00FC3E45" w:rsidRPr="002B47D5" w:rsidTr="00ED3014">
        <w:tc>
          <w:tcPr>
            <w:tcW w:w="2045" w:type="dxa"/>
          </w:tcPr>
          <w:p w:rsidR="00FC3E45" w:rsidRPr="005152A0" w:rsidRDefault="00FC3E45" w:rsidP="00ED3014">
            <w:pPr>
              <w:jc w:val="both"/>
              <w:rPr>
                <w:sz w:val="18"/>
                <w:szCs w:val="18"/>
              </w:rPr>
            </w:pPr>
            <w:r>
              <w:rPr>
                <w:sz w:val="18"/>
                <w:szCs w:val="18"/>
              </w:rPr>
              <w:t>Konferencja dla przedstawicieli sektora kreatywnego</w:t>
            </w:r>
          </w:p>
        </w:tc>
        <w:tc>
          <w:tcPr>
            <w:tcW w:w="2258" w:type="dxa"/>
          </w:tcPr>
          <w:p w:rsidR="00FC3E45" w:rsidRPr="002B47D5" w:rsidRDefault="00E502B3" w:rsidP="00ED3014">
            <w:pPr>
              <w:jc w:val="both"/>
              <w:rPr>
                <w:sz w:val="18"/>
                <w:szCs w:val="18"/>
              </w:rPr>
            </w:pPr>
            <w:r>
              <w:rPr>
                <w:sz w:val="18"/>
                <w:szCs w:val="18"/>
              </w:rPr>
              <w:t>PNT</w:t>
            </w:r>
            <w:r w:rsidR="00FC3E45">
              <w:rPr>
                <w:sz w:val="18"/>
                <w:szCs w:val="18"/>
              </w:rPr>
              <w:t xml:space="preserve">, SOK, </w:t>
            </w:r>
            <w:r w:rsidR="00BC1C74">
              <w:rPr>
                <w:sz w:val="18"/>
                <w:szCs w:val="18"/>
              </w:rPr>
              <w:t>RFZ, KT</w:t>
            </w:r>
            <w:r w:rsidR="00FC3E45">
              <w:rPr>
                <w:sz w:val="18"/>
                <w:szCs w:val="18"/>
              </w:rPr>
              <w:t>Z</w:t>
            </w:r>
          </w:p>
        </w:tc>
        <w:tc>
          <w:tcPr>
            <w:tcW w:w="1812" w:type="dxa"/>
          </w:tcPr>
          <w:p w:rsidR="00FC3E45" w:rsidRPr="002B47D5" w:rsidRDefault="00FC3E45" w:rsidP="00ED3014">
            <w:pPr>
              <w:jc w:val="both"/>
              <w:rPr>
                <w:sz w:val="18"/>
                <w:szCs w:val="18"/>
              </w:rPr>
            </w:pPr>
            <w:r>
              <w:rPr>
                <w:sz w:val="18"/>
                <w:szCs w:val="18"/>
              </w:rPr>
              <w:t>Przedstawiciele sektora kreatywnego, przedsiębiorcy, NGO</w:t>
            </w:r>
          </w:p>
        </w:tc>
        <w:tc>
          <w:tcPr>
            <w:tcW w:w="1418" w:type="dxa"/>
          </w:tcPr>
          <w:p w:rsidR="00FC3E45" w:rsidRPr="002B47D5" w:rsidRDefault="007D75AD" w:rsidP="00ED3014">
            <w:pPr>
              <w:jc w:val="both"/>
              <w:rPr>
                <w:sz w:val="18"/>
                <w:szCs w:val="18"/>
              </w:rPr>
            </w:pPr>
            <w:r>
              <w:rPr>
                <w:sz w:val="18"/>
                <w:szCs w:val="18"/>
              </w:rPr>
              <w:t>25.000 zł.</w:t>
            </w:r>
          </w:p>
        </w:tc>
        <w:tc>
          <w:tcPr>
            <w:tcW w:w="1755" w:type="dxa"/>
          </w:tcPr>
          <w:p w:rsidR="00FC3E45" w:rsidRPr="002B47D5" w:rsidRDefault="00FC3E45" w:rsidP="00ED3014">
            <w:pPr>
              <w:jc w:val="left"/>
              <w:rPr>
                <w:sz w:val="18"/>
                <w:szCs w:val="18"/>
              </w:rPr>
            </w:pPr>
            <w:r>
              <w:rPr>
                <w:sz w:val="18"/>
                <w:szCs w:val="18"/>
              </w:rPr>
              <w:t>Fundusze unijne, środki własne</w:t>
            </w:r>
          </w:p>
        </w:tc>
      </w:tr>
      <w:tr w:rsidR="00FC3E45" w:rsidRPr="002B47D5" w:rsidTr="00ED3014">
        <w:tc>
          <w:tcPr>
            <w:tcW w:w="2045" w:type="dxa"/>
          </w:tcPr>
          <w:p w:rsidR="00FC3E45" w:rsidRPr="005152A0" w:rsidRDefault="00FC3E45" w:rsidP="00ED3014">
            <w:pPr>
              <w:jc w:val="both"/>
              <w:rPr>
                <w:sz w:val="18"/>
                <w:szCs w:val="18"/>
              </w:rPr>
            </w:pPr>
            <w:r>
              <w:rPr>
                <w:sz w:val="18"/>
                <w:szCs w:val="18"/>
              </w:rPr>
              <w:t>Szkolenia i warsztaty dla przedstawicieli sektora kreatywnego</w:t>
            </w:r>
          </w:p>
        </w:tc>
        <w:tc>
          <w:tcPr>
            <w:tcW w:w="2258" w:type="dxa"/>
          </w:tcPr>
          <w:p w:rsidR="00FC3E45" w:rsidRPr="002B47D5" w:rsidRDefault="00E502B3" w:rsidP="00ED3014">
            <w:pPr>
              <w:jc w:val="both"/>
              <w:rPr>
                <w:sz w:val="18"/>
                <w:szCs w:val="18"/>
              </w:rPr>
            </w:pPr>
            <w:r>
              <w:rPr>
                <w:sz w:val="18"/>
                <w:szCs w:val="18"/>
              </w:rPr>
              <w:t>PNT</w:t>
            </w:r>
            <w:r w:rsidR="00BC1C74">
              <w:rPr>
                <w:sz w:val="18"/>
                <w:szCs w:val="18"/>
              </w:rPr>
              <w:t>, SOK, RFZ, KT</w:t>
            </w:r>
            <w:r w:rsidR="00FC3E45">
              <w:rPr>
                <w:sz w:val="18"/>
                <w:szCs w:val="18"/>
              </w:rPr>
              <w:t>Z</w:t>
            </w:r>
          </w:p>
        </w:tc>
        <w:tc>
          <w:tcPr>
            <w:tcW w:w="1812" w:type="dxa"/>
          </w:tcPr>
          <w:p w:rsidR="00FC3E45" w:rsidRPr="002B47D5" w:rsidRDefault="00FC3E45" w:rsidP="00ED3014">
            <w:pPr>
              <w:jc w:val="both"/>
              <w:rPr>
                <w:sz w:val="18"/>
                <w:szCs w:val="18"/>
              </w:rPr>
            </w:pPr>
            <w:r>
              <w:rPr>
                <w:sz w:val="18"/>
                <w:szCs w:val="18"/>
              </w:rPr>
              <w:t>Przedstawiciele sektora kreatywnego, przedsiębiorcy, NGO</w:t>
            </w:r>
          </w:p>
        </w:tc>
        <w:tc>
          <w:tcPr>
            <w:tcW w:w="1418" w:type="dxa"/>
          </w:tcPr>
          <w:p w:rsidR="00FC3E45" w:rsidRPr="002B47D5" w:rsidRDefault="009C1F39" w:rsidP="00ED3014">
            <w:pPr>
              <w:jc w:val="both"/>
              <w:rPr>
                <w:sz w:val="18"/>
                <w:szCs w:val="18"/>
              </w:rPr>
            </w:pPr>
            <w:proofErr w:type="spellStart"/>
            <w:r>
              <w:rPr>
                <w:sz w:val="18"/>
                <w:szCs w:val="18"/>
              </w:rPr>
              <w:t>b.d</w:t>
            </w:r>
            <w:proofErr w:type="spellEnd"/>
            <w:r>
              <w:rPr>
                <w:sz w:val="18"/>
                <w:szCs w:val="18"/>
              </w:rPr>
              <w:t>.</w:t>
            </w:r>
          </w:p>
        </w:tc>
        <w:tc>
          <w:tcPr>
            <w:tcW w:w="1755" w:type="dxa"/>
          </w:tcPr>
          <w:p w:rsidR="00FC3E45" w:rsidRDefault="00FC3E45" w:rsidP="00ED3014">
            <w:pPr>
              <w:jc w:val="left"/>
            </w:pPr>
            <w:r w:rsidRPr="0059637A">
              <w:rPr>
                <w:sz w:val="18"/>
                <w:szCs w:val="18"/>
              </w:rPr>
              <w:t>Fundusze unijne, środki własne</w:t>
            </w:r>
          </w:p>
        </w:tc>
      </w:tr>
      <w:tr w:rsidR="009C1F39" w:rsidRPr="002B47D5" w:rsidTr="00ED3014">
        <w:tc>
          <w:tcPr>
            <w:tcW w:w="2045" w:type="dxa"/>
          </w:tcPr>
          <w:p w:rsidR="009C1F39" w:rsidRPr="005152A0" w:rsidRDefault="009C1F39" w:rsidP="00ED3014">
            <w:pPr>
              <w:jc w:val="both"/>
              <w:rPr>
                <w:sz w:val="18"/>
                <w:szCs w:val="18"/>
              </w:rPr>
            </w:pPr>
            <w:r>
              <w:rPr>
                <w:sz w:val="18"/>
                <w:szCs w:val="18"/>
              </w:rPr>
              <w:t>Cykliczne wydarzenie dla przedstawicieli sektora kreatywnego z regionu</w:t>
            </w:r>
          </w:p>
        </w:tc>
        <w:tc>
          <w:tcPr>
            <w:tcW w:w="2258" w:type="dxa"/>
          </w:tcPr>
          <w:p w:rsidR="009C1F39" w:rsidRPr="002B47D5" w:rsidRDefault="00E502B3" w:rsidP="00ED3014">
            <w:pPr>
              <w:jc w:val="both"/>
              <w:rPr>
                <w:sz w:val="18"/>
                <w:szCs w:val="18"/>
              </w:rPr>
            </w:pPr>
            <w:r>
              <w:rPr>
                <w:sz w:val="18"/>
                <w:szCs w:val="18"/>
              </w:rPr>
              <w:t>PNT</w:t>
            </w:r>
            <w:r w:rsidR="00BC1C74">
              <w:rPr>
                <w:sz w:val="18"/>
                <w:szCs w:val="18"/>
              </w:rPr>
              <w:t>, SOK, RFZ, KT</w:t>
            </w:r>
            <w:r w:rsidR="009C1F39">
              <w:rPr>
                <w:sz w:val="18"/>
                <w:szCs w:val="18"/>
              </w:rPr>
              <w:t>Z</w:t>
            </w:r>
          </w:p>
        </w:tc>
        <w:tc>
          <w:tcPr>
            <w:tcW w:w="1812" w:type="dxa"/>
          </w:tcPr>
          <w:p w:rsidR="009C1F39" w:rsidRPr="002B47D5" w:rsidRDefault="009C1F39" w:rsidP="00ED3014">
            <w:pPr>
              <w:jc w:val="both"/>
              <w:rPr>
                <w:sz w:val="18"/>
                <w:szCs w:val="18"/>
              </w:rPr>
            </w:pPr>
            <w:r>
              <w:rPr>
                <w:sz w:val="18"/>
                <w:szCs w:val="18"/>
              </w:rPr>
              <w:t>Przedstawiciele sektora kreatywnego, przedsiębiorcy, NGO</w:t>
            </w:r>
          </w:p>
        </w:tc>
        <w:tc>
          <w:tcPr>
            <w:tcW w:w="1418" w:type="dxa"/>
          </w:tcPr>
          <w:p w:rsidR="009C1F39" w:rsidRDefault="009C1F39" w:rsidP="009C1F39">
            <w:pPr>
              <w:jc w:val="left"/>
            </w:pPr>
            <w:proofErr w:type="spellStart"/>
            <w:r w:rsidRPr="008F5254">
              <w:rPr>
                <w:sz w:val="18"/>
                <w:szCs w:val="18"/>
              </w:rPr>
              <w:t>b.d</w:t>
            </w:r>
            <w:proofErr w:type="spellEnd"/>
            <w:r w:rsidRPr="008F5254">
              <w:rPr>
                <w:sz w:val="18"/>
                <w:szCs w:val="18"/>
              </w:rPr>
              <w:t>.</w:t>
            </w:r>
          </w:p>
        </w:tc>
        <w:tc>
          <w:tcPr>
            <w:tcW w:w="1755" w:type="dxa"/>
          </w:tcPr>
          <w:p w:rsidR="009C1F39" w:rsidRDefault="009C1F39" w:rsidP="00ED3014">
            <w:pPr>
              <w:jc w:val="left"/>
            </w:pPr>
            <w:r w:rsidRPr="0059637A">
              <w:rPr>
                <w:sz w:val="18"/>
                <w:szCs w:val="18"/>
              </w:rPr>
              <w:t>Fundusze unijne, środki własne</w:t>
            </w:r>
          </w:p>
        </w:tc>
      </w:tr>
      <w:tr w:rsidR="009C1F39" w:rsidRPr="002B47D5" w:rsidTr="00ED3014">
        <w:tc>
          <w:tcPr>
            <w:tcW w:w="2045" w:type="dxa"/>
          </w:tcPr>
          <w:p w:rsidR="009C1F39" w:rsidRPr="005152A0" w:rsidRDefault="009C1F39" w:rsidP="00ED3014">
            <w:pPr>
              <w:jc w:val="both"/>
              <w:rPr>
                <w:sz w:val="18"/>
                <w:szCs w:val="18"/>
              </w:rPr>
            </w:pPr>
            <w:r>
              <w:rPr>
                <w:sz w:val="18"/>
                <w:szCs w:val="18"/>
              </w:rPr>
              <w:t xml:space="preserve">Powołanie Północno-Wschodniego </w:t>
            </w:r>
            <w:proofErr w:type="spellStart"/>
            <w:r>
              <w:rPr>
                <w:sz w:val="18"/>
                <w:szCs w:val="18"/>
              </w:rPr>
              <w:t>Klastra</w:t>
            </w:r>
            <w:proofErr w:type="spellEnd"/>
            <w:r>
              <w:rPr>
                <w:sz w:val="18"/>
                <w:szCs w:val="18"/>
              </w:rPr>
              <w:t xml:space="preserve"> Kreatywności</w:t>
            </w:r>
          </w:p>
        </w:tc>
        <w:tc>
          <w:tcPr>
            <w:tcW w:w="2258" w:type="dxa"/>
          </w:tcPr>
          <w:p w:rsidR="009C1F39" w:rsidRPr="002B47D5" w:rsidRDefault="00E502B3" w:rsidP="00ED3014">
            <w:pPr>
              <w:jc w:val="both"/>
              <w:rPr>
                <w:sz w:val="18"/>
                <w:szCs w:val="18"/>
              </w:rPr>
            </w:pPr>
            <w:r>
              <w:rPr>
                <w:sz w:val="18"/>
                <w:szCs w:val="18"/>
              </w:rPr>
              <w:t>PNT</w:t>
            </w:r>
            <w:r w:rsidR="00BC1C74">
              <w:rPr>
                <w:sz w:val="18"/>
                <w:szCs w:val="18"/>
              </w:rPr>
              <w:t>, SOK, RFZ, KT</w:t>
            </w:r>
            <w:r w:rsidR="009C1F39">
              <w:rPr>
                <w:sz w:val="18"/>
                <w:szCs w:val="18"/>
              </w:rPr>
              <w:t>Z</w:t>
            </w:r>
          </w:p>
        </w:tc>
        <w:tc>
          <w:tcPr>
            <w:tcW w:w="1812" w:type="dxa"/>
          </w:tcPr>
          <w:p w:rsidR="009C1F39" w:rsidRPr="002B47D5" w:rsidRDefault="009C1F39" w:rsidP="00ED3014">
            <w:pPr>
              <w:jc w:val="both"/>
              <w:rPr>
                <w:sz w:val="18"/>
                <w:szCs w:val="18"/>
              </w:rPr>
            </w:pPr>
            <w:r>
              <w:rPr>
                <w:sz w:val="18"/>
                <w:szCs w:val="18"/>
              </w:rPr>
              <w:t>Przedstawiciele sektora kreatywnego, przedsiębiorcy, NGO</w:t>
            </w:r>
          </w:p>
        </w:tc>
        <w:tc>
          <w:tcPr>
            <w:tcW w:w="1418" w:type="dxa"/>
          </w:tcPr>
          <w:p w:rsidR="009C1F39" w:rsidRDefault="009C1F39" w:rsidP="009C1F39">
            <w:pPr>
              <w:jc w:val="left"/>
            </w:pPr>
            <w:proofErr w:type="spellStart"/>
            <w:r w:rsidRPr="008F5254">
              <w:rPr>
                <w:sz w:val="18"/>
                <w:szCs w:val="18"/>
              </w:rPr>
              <w:t>b.d</w:t>
            </w:r>
            <w:proofErr w:type="spellEnd"/>
            <w:r w:rsidRPr="008F5254">
              <w:rPr>
                <w:sz w:val="18"/>
                <w:szCs w:val="18"/>
              </w:rPr>
              <w:t>.</w:t>
            </w:r>
          </w:p>
        </w:tc>
        <w:tc>
          <w:tcPr>
            <w:tcW w:w="1755" w:type="dxa"/>
          </w:tcPr>
          <w:p w:rsidR="009C1F39" w:rsidRPr="002B47D5" w:rsidRDefault="009C1F39" w:rsidP="00ED3014">
            <w:pPr>
              <w:jc w:val="both"/>
              <w:rPr>
                <w:sz w:val="18"/>
                <w:szCs w:val="18"/>
              </w:rPr>
            </w:pPr>
            <w:r>
              <w:rPr>
                <w:sz w:val="18"/>
                <w:szCs w:val="18"/>
              </w:rPr>
              <w:t>Fundusze unijne, środki własne</w:t>
            </w:r>
          </w:p>
        </w:tc>
      </w:tr>
      <w:tr w:rsidR="009C1F39" w:rsidRPr="002B47D5" w:rsidTr="00ED3014">
        <w:tc>
          <w:tcPr>
            <w:tcW w:w="2045" w:type="dxa"/>
          </w:tcPr>
          <w:p w:rsidR="009C1F39" w:rsidRDefault="009C1F39" w:rsidP="00ED3014">
            <w:pPr>
              <w:jc w:val="both"/>
              <w:rPr>
                <w:sz w:val="18"/>
                <w:szCs w:val="18"/>
              </w:rPr>
            </w:pPr>
            <w:r>
              <w:rPr>
                <w:sz w:val="18"/>
                <w:szCs w:val="18"/>
              </w:rPr>
              <w:t>Wsparcie ze strony Parku NT dla przedstawicieli sektora kreatywnego</w:t>
            </w:r>
          </w:p>
        </w:tc>
        <w:tc>
          <w:tcPr>
            <w:tcW w:w="2258" w:type="dxa"/>
          </w:tcPr>
          <w:p w:rsidR="009C1F39" w:rsidRPr="00661640" w:rsidRDefault="009C1F39" w:rsidP="00ED3014">
            <w:pPr>
              <w:jc w:val="both"/>
              <w:rPr>
                <w:rFonts w:eastAsia="FranklinGothicMedium" w:cs="Times New Roman"/>
                <w:sz w:val="18"/>
                <w:szCs w:val="18"/>
              </w:rPr>
            </w:pPr>
            <w:r>
              <w:rPr>
                <w:rFonts w:eastAsia="FranklinGothicMedium" w:cs="Times New Roman"/>
                <w:sz w:val="18"/>
                <w:szCs w:val="18"/>
              </w:rPr>
              <w:t>PNT, UM</w:t>
            </w:r>
          </w:p>
        </w:tc>
        <w:tc>
          <w:tcPr>
            <w:tcW w:w="1812" w:type="dxa"/>
          </w:tcPr>
          <w:p w:rsidR="009C1F39" w:rsidRPr="002B47D5" w:rsidRDefault="009C1F39" w:rsidP="00CB47C4">
            <w:pPr>
              <w:jc w:val="both"/>
              <w:rPr>
                <w:sz w:val="18"/>
                <w:szCs w:val="18"/>
              </w:rPr>
            </w:pPr>
            <w:r>
              <w:rPr>
                <w:sz w:val="18"/>
                <w:szCs w:val="18"/>
              </w:rPr>
              <w:t>Przedstawiciele sektora kreatywnego, przedsiębiorcy, NGO</w:t>
            </w:r>
          </w:p>
        </w:tc>
        <w:tc>
          <w:tcPr>
            <w:tcW w:w="1418" w:type="dxa"/>
          </w:tcPr>
          <w:p w:rsidR="009C1F39" w:rsidRDefault="009C1F39" w:rsidP="009C1F39">
            <w:pPr>
              <w:jc w:val="left"/>
            </w:pPr>
            <w:proofErr w:type="spellStart"/>
            <w:r w:rsidRPr="008F5254">
              <w:rPr>
                <w:sz w:val="18"/>
                <w:szCs w:val="18"/>
              </w:rPr>
              <w:t>b.d</w:t>
            </w:r>
            <w:proofErr w:type="spellEnd"/>
            <w:r w:rsidRPr="008F5254">
              <w:rPr>
                <w:sz w:val="18"/>
                <w:szCs w:val="18"/>
              </w:rPr>
              <w:t>.</w:t>
            </w:r>
          </w:p>
        </w:tc>
        <w:tc>
          <w:tcPr>
            <w:tcW w:w="1755" w:type="dxa"/>
          </w:tcPr>
          <w:p w:rsidR="009C1F39" w:rsidRPr="002B47D5" w:rsidRDefault="009C1F39" w:rsidP="00CB47C4">
            <w:pPr>
              <w:jc w:val="both"/>
              <w:rPr>
                <w:sz w:val="18"/>
                <w:szCs w:val="18"/>
              </w:rPr>
            </w:pPr>
            <w:r>
              <w:rPr>
                <w:sz w:val="18"/>
                <w:szCs w:val="18"/>
              </w:rPr>
              <w:t>Fundusze unijne, środki własne</w:t>
            </w:r>
          </w:p>
        </w:tc>
      </w:tr>
    </w:tbl>
    <w:p w:rsidR="00FC3E45" w:rsidRDefault="00FC3E45" w:rsidP="00FC3E45">
      <w:pPr>
        <w:pStyle w:val="Nagwek3"/>
        <w:rPr>
          <w:rFonts w:eastAsia="FranklinGothicMedium"/>
        </w:rPr>
      </w:pPr>
      <w:bookmarkStart w:id="41" w:name="_Toc390759492"/>
      <w:r>
        <w:rPr>
          <w:rFonts w:eastAsia="FranklinGothicMedium"/>
        </w:rPr>
        <w:t>1.3.2. Stworzenie fund</w:t>
      </w:r>
      <w:r w:rsidR="00B96136">
        <w:rPr>
          <w:rFonts w:eastAsia="FranklinGothicMedium"/>
        </w:rPr>
        <w:t xml:space="preserve">uszu i wsparcie komercjalizacji </w:t>
      </w:r>
      <w:r>
        <w:rPr>
          <w:rFonts w:eastAsia="FranklinGothicMedium"/>
        </w:rPr>
        <w:t>produktów w sektorze kreatywnym</w:t>
      </w:r>
      <w:bookmarkEnd w:id="41"/>
    </w:p>
    <w:p w:rsidR="00FC3E45" w:rsidRDefault="00FC3E45" w:rsidP="00BA58FD">
      <w:pPr>
        <w:autoSpaceDE w:val="0"/>
        <w:autoSpaceDN w:val="0"/>
        <w:adjustRightInd w:val="0"/>
        <w:spacing w:after="0" w:line="240" w:lineRule="auto"/>
        <w:jc w:val="both"/>
        <w:rPr>
          <w:rFonts w:eastAsia="FranklinGothicMedium" w:cs="Times New Roman"/>
        </w:rPr>
      </w:pPr>
    </w:p>
    <w:p w:rsidR="004253DA" w:rsidRDefault="00BA58FD" w:rsidP="00BA58FD">
      <w:pPr>
        <w:autoSpaceDE w:val="0"/>
        <w:autoSpaceDN w:val="0"/>
        <w:adjustRightInd w:val="0"/>
        <w:spacing w:after="0" w:line="240" w:lineRule="auto"/>
        <w:jc w:val="both"/>
        <w:rPr>
          <w:rFonts w:eastAsia="FranklinGothicMedium" w:cs="Times New Roman"/>
        </w:rPr>
      </w:pPr>
      <w:r>
        <w:rPr>
          <w:rFonts w:eastAsia="FranklinGothicMedium" w:cs="Times New Roman"/>
        </w:rPr>
        <w:t xml:space="preserve">W zależności od stopnia zaawansowania inicjatywy dotyczącej przemysłów kreatywnych, w dalszej kolejności należy rozważyć  </w:t>
      </w:r>
      <w:r w:rsidRPr="004253DA">
        <w:rPr>
          <w:rFonts w:eastAsia="FranklinGothicMedium" w:cs="Times New Roman"/>
          <w:b/>
        </w:rPr>
        <w:t>stworzenie funduszu</w:t>
      </w:r>
      <w:r w:rsidRPr="00BA58FD">
        <w:rPr>
          <w:rFonts w:eastAsia="FranklinGothicMedium" w:cs="Times New Roman"/>
        </w:rPr>
        <w:t>, współfinansującego procedurę zdobycia ochrony praw autorskich</w:t>
      </w:r>
      <w:r>
        <w:rPr>
          <w:rFonts w:eastAsia="FranklinGothicMedium" w:cs="Times New Roman"/>
        </w:rPr>
        <w:t xml:space="preserve"> </w:t>
      </w:r>
      <w:r w:rsidRPr="00BA58FD">
        <w:rPr>
          <w:rFonts w:eastAsia="FranklinGothicMedium" w:cs="Times New Roman"/>
        </w:rPr>
        <w:t>produktów i utworów artystycznych</w:t>
      </w:r>
      <w:r w:rsidR="004253DA">
        <w:rPr>
          <w:rFonts w:eastAsia="FranklinGothicMedium" w:cs="Times New Roman"/>
        </w:rPr>
        <w:t xml:space="preserve"> </w:t>
      </w:r>
      <w:r w:rsidR="004253DA" w:rsidRPr="004253DA">
        <w:rPr>
          <w:rFonts w:eastAsia="FranklinGothicMedium" w:cs="Times New Roman"/>
          <w:b/>
        </w:rPr>
        <w:t>wsparcie komercjalizacji</w:t>
      </w:r>
      <w:r w:rsidR="004253DA" w:rsidRPr="004253DA">
        <w:rPr>
          <w:rFonts w:eastAsia="FranklinGothicMedium" w:cs="Times New Roman"/>
        </w:rPr>
        <w:t xml:space="preserve"> produktów w sektorze kreatywnym</w:t>
      </w:r>
      <w:r w:rsidR="004253DA">
        <w:rPr>
          <w:rFonts w:eastAsia="FranklinGothicMedium" w:cs="Times New Roman"/>
        </w:rPr>
        <w:t>. Przy czym działania te powinny być prowadzone przez zainteresowane podmioty np. z III sektora przy wsparciu merytorycznym i organizacyjnym ze strony Miasta Suwałki.</w:t>
      </w:r>
    </w:p>
    <w:p w:rsidR="00D3424D" w:rsidRDefault="00D3424D" w:rsidP="00D3424D"/>
    <w:tbl>
      <w:tblPr>
        <w:tblStyle w:val="Tabela-Siatka"/>
        <w:tblW w:w="0" w:type="auto"/>
        <w:tblLook w:val="04A0"/>
      </w:tblPr>
      <w:tblGrid>
        <w:gridCol w:w="2045"/>
        <w:gridCol w:w="2258"/>
        <w:gridCol w:w="1812"/>
        <w:gridCol w:w="1418"/>
        <w:gridCol w:w="1755"/>
      </w:tblGrid>
      <w:tr w:rsidR="00BA58FD" w:rsidRPr="002B47D5" w:rsidTr="00BA58FD">
        <w:tc>
          <w:tcPr>
            <w:tcW w:w="2045" w:type="dxa"/>
            <w:shd w:val="clear" w:color="auto" w:fill="4F81BD" w:themeFill="accent1"/>
          </w:tcPr>
          <w:p w:rsidR="00BA58FD" w:rsidRPr="002B47D5" w:rsidRDefault="00BA58FD" w:rsidP="00817792">
            <w:pPr>
              <w:rPr>
                <w:color w:val="FFFFFF" w:themeColor="background1"/>
                <w:sz w:val="18"/>
                <w:szCs w:val="18"/>
              </w:rPr>
            </w:pPr>
            <w:r>
              <w:rPr>
                <w:color w:val="FFFFFF" w:themeColor="background1"/>
                <w:sz w:val="18"/>
                <w:szCs w:val="18"/>
              </w:rPr>
              <w:t>Działanie</w:t>
            </w:r>
          </w:p>
        </w:tc>
        <w:tc>
          <w:tcPr>
            <w:tcW w:w="2258" w:type="dxa"/>
            <w:shd w:val="clear" w:color="auto" w:fill="4F81BD" w:themeFill="accent1"/>
          </w:tcPr>
          <w:p w:rsidR="00BA58FD" w:rsidRPr="002B47D5" w:rsidRDefault="00BA58FD" w:rsidP="00817792">
            <w:pPr>
              <w:rPr>
                <w:color w:val="FFFFFF" w:themeColor="background1"/>
                <w:sz w:val="18"/>
                <w:szCs w:val="18"/>
              </w:rPr>
            </w:pPr>
            <w:r>
              <w:rPr>
                <w:color w:val="FFFFFF" w:themeColor="background1"/>
                <w:sz w:val="18"/>
                <w:szCs w:val="18"/>
              </w:rPr>
              <w:t>Podmioty odpowiedzialne</w:t>
            </w:r>
          </w:p>
        </w:tc>
        <w:tc>
          <w:tcPr>
            <w:tcW w:w="1812" w:type="dxa"/>
            <w:shd w:val="clear" w:color="auto" w:fill="4F81BD" w:themeFill="accent1"/>
          </w:tcPr>
          <w:p w:rsidR="00BA58FD" w:rsidRPr="002B47D5" w:rsidRDefault="00BA58FD" w:rsidP="00817792">
            <w:pPr>
              <w:rPr>
                <w:color w:val="FFFFFF" w:themeColor="background1"/>
                <w:sz w:val="18"/>
                <w:szCs w:val="18"/>
              </w:rPr>
            </w:pPr>
            <w:r>
              <w:rPr>
                <w:color w:val="FFFFFF" w:themeColor="background1"/>
                <w:sz w:val="18"/>
                <w:szCs w:val="18"/>
              </w:rPr>
              <w:t>Grupy docelowe</w:t>
            </w:r>
          </w:p>
        </w:tc>
        <w:tc>
          <w:tcPr>
            <w:tcW w:w="1418" w:type="dxa"/>
            <w:shd w:val="clear" w:color="auto" w:fill="4F81BD" w:themeFill="accent1"/>
          </w:tcPr>
          <w:p w:rsidR="00BA58FD" w:rsidRDefault="00BA58FD" w:rsidP="00817792">
            <w:pPr>
              <w:rPr>
                <w:color w:val="FFFFFF" w:themeColor="background1"/>
                <w:sz w:val="18"/>
                <w:szCs w:val="18"/>
              </w:rPr>
            </w:pPr>
            <w:r>
              <w:rPr>
                <w:color w:val="FFFFFF" w:themeColor="background1"/>
                <w:sz w:val="18"/>
                <w:szCs w:val="18"/>
              </w:rPr>
              <w:t>Koszt</w:t>
            </w:r>
          </w:p>
        </w:tc>
        <w:tc>
          <w:tcPr>
            <w:tcW w:w="1755" w:type="dxa"/>
            <w:shd w:val="clear" w:color="auto" w:fill="4F81BD" w:themeFill="accent1"/>
          </w:tcPr>
          <w:p w:rsidR="00BA58FD" w:rsidRPr="002B47D5" w:rsidRDefault="00BA58FD" w:rsidP="00817792">
            <w:pPr>
              <w:rPr>
                <w:color w:val="FFFFFF" w:themeColor="background1"/>
                <w:sz w:val="18"/>
                <w:szCs w:val="18"/>
              </w:rPr>
            </w:pPr>
            <w:r>
              <w:rPr>
                <w:color w:val="FFFFFF" w:themeColor="background1"/>
                <w:sz w:val="18"/>
                <w:szCs w:val="18"/>
              </w:rPr>
              <w:t>Źródła finansowania</w:t>
            </w:r>
          </w:p>
        </w:tc>
      </w:tr>
      <w:tr w:rsidR="00255F44" w:rsidRPr="002B47D5" w:rsidTr="00BA58FD">
        <w:tc>
          <w:tcPr>
            <w:tcW w:w="2045" w:type="dxa"/>
          </w:tcPr>
          <w:p w:rsidR="00255F44" w:rsidRDefault="00255F44" w:rsidP="00817792">
            <w:pPr>
              <w:jc w:val="both"/>
              <w:rPr>
                <w:sz w:val="18"/>
                <w:szCs w:val="18"/>
              </w:rPr>
            </w:pPr>
            <w:r>
              <w:rPr>
                <w:sz w:val="18"/>
                <w:szCs w:val="18"/>
              </w:rPr>
              <w:t>S</w:t>
            </w:r>
            <w:r w:rsidRPr="004253DA">
              <w:rPr>
                <w:sz w:val="18"/>
                <w:szCs w:val="18"/>
              </w:rPr>
              <w:t>tworzenie funduszu, współfinansującego procedurę zdobycia ochrony praw autorskich produktów i utworów artystycznych</w:t>
            </w:r>
          </w:p>
        </w:tc>
        <w:tc>
          <w:tcPr>
            <w:tcW w:w="2258" w:type="dxa"/>
          </w:tcPr>
          <w:p w:rsidR="00255F44" w:rsidRDefault="008D2FE6" w:rsidP="00817792">
            <w:pPr>
              <w:jc w:val="both"/>
              <w:rPr>
                <w:sz w:val="18"/>
                <w:szCs w:val="18"/>
              </w:rPr>
            </w:pPr>
            <w:r>
              <w:rPr>
                <w:sz w:val="18"/>
                <w:szCs w:val="18"/>
              </w:rPr>
              <w:t xml:space="preserve">Zainteresowane </w:t>
            </w:r>
            <w:proofErr w:type="spellStart"/>
            <w:r>
              <w:rPr>
                <w:sz w:val="18"/>
                <w:szCs w:val="18"/>
              </w:rPr>
              <w:t>NGOsy</w:t>
            </w:r>
            <w:proofErr w:type="spellEnd"/>
            <w:r w:rsidR="00255F44">
              <w:rPr>
                <w:sz w:val="18"/>
                <w:szCs w:val="18"/>
              </w:rPr>
              <w:t>,</w:t>
            </w:r>
            <w:r>
              <w:rPr>
                <w:sz w:val="18"/>
                <w:szCs w:val="18"/>
              </w:rPr>
              <w:t xml:space="preserve"> Miasto Suwałki,</w:t>
            </w:r>
            <w:r w:rsidR="00255F44">
              <w:rPr>
                <w:sz w:val="18"/>
                <w:szCs w:val="18"/>
              </w:rPr>
              <w:t xml:space="preserve"> PNT</w:t>
            </w:r>
          </w:p>
        </w:tc>
        <w:tc>
          <w:tcPr>
            <w:tcW w:w="1812" w:type="dxa"/>
          </w:tcPr>
          <w:p w:rsidR="00255F44" w:rsidRPr="002B47D5" w:rsidRDefault="00255F44" w:rsidP="00817792">
            <w:pPr>
              <w:jc w:val="both"/>
              <w:rPr>
                <w:sz w:val="18"/>
                <w:szCs w:val="18"/>
              </w:rPr>
            </w:pPr>
            <w:r>
              <w:rPr>
                <w:sz w:val="18"/>
                <w:szCs w:val="18"/>
              </w:rPr>
              <w:t>Przedstawiciele sektora kreatywnego, przedsiębiorcy, NGO</w:t>
            </w:r>
          </w:p>
        </w:tc>
        <w:tc>
          <w:tcPr>
            <w:tcW w:w="1418" w:type="dxa"/>
          </w:tcPr>
          <w:p w:rsidR="00255F44" w:rsidRDefault="00255F44" w:rsidP="00255F44">
            <w:pPr>
              <w:jc w:val="left"/>
            </w:pPr>
            <w:proofErr w:type="spellStart"/>
            <w:r w:rsidRPr="00B671B0">
              <w:rPr>
                <w:sz w:val="18"/>
                <w:szCs w:val="18"/>
              </w:rPr>
              <w:t>b.d</w:t>
            </w:r>
            <w:proofErr w:type="spellEnd"/>
            <w:r w:rsidRPr="00B671B0">
              <w:rPr>
                <w:sz w:val="18"/>
                <w:szCs w:val="18"/>
              </w:rPr>
              <w:t>.</w:t>
            </w:r>
          </w:p>
        </w:tc>
        <w:tc>
          <w:tcPr>
            <w:tcW w:w="1755" w:type="dxa"/>
          </w:tcPr>
          <w:p w:rsidR="00255F44" w:rsidRPr="002B47D5" w:rsidRDefault="00255F44" w:rsidP="00817792">
            <w:pPr>
              <w:jc w:val="both"/>
              <w:rPr>
                <w:sz w:val="18"/>
                <w:szCs w:val="18"/>
              </w:rPr>
            </w:pPr>
            <w:r>
              <w:rPr>
                <w:sz w:val="18"/>
                <w:szCs w:val="18"/>
              </w:rPr>
              <w:t>Fundusze unijne, środki własne partnera</w:t>
            </w:r>
          </w:p>
        </w:tc>
      </w:tr>
      <w:tr w:rsidR="00255F44" w:rsidRPr="002B47D5" w:rsidTr="00BA58FD">
        <w:tc>
          <w:tcPr>
            <w:tcW w:w="2045" w:type="dxa"/>
          </w:tcPr>
          <w:p w:rsidR="00255F44" w:rsidRDefault="00255F44" w:rsidP="00817792">
            <w:pPr>
              <w:jc w:val="both"/>
              <w:rPr>
                <w:sz w:val="18"/>
                <w:szCs w:val="18"/>
              </w:rPr>
            </w:pPr>
            <w:r>
              <w:rPr>
                <w:sz w:val="18"/>
                <w:szCs w:val="18"/>
              </w:rPr>
              <w:t>W</w:t>
            </w:r>
            <w:r w:rsidRPr="004253DA">
              <w:rPr>
                <w:sz w:val="18"/>
                <w:szCs w:val="18"/>
              </w:rPr>
              <w:t>sparcie komercjalizacji produktów w sektorze kreatywnym</w:t>
            </w:r>
          </w:p>
        </w:tc>
        <w:tc>
          <w:tcPr>
            <w:tcW w:w="2258" w:type="dxa"/>
          </w:tcPr>
          <w:p w:rsidR="00255F44" w:rsidRDefault="008D2FE6" w:rsidP="00817792">
            <w:pPr>
              <w:jc w:val="both"/>
              <w:rPr>
                <w:sz w:val="18"/>
                <w:szCs w:val="18"/>
              </w:rPr>
            </w:pPr>
            <w:r>
              <w:rPr>
                <w:sz w:val="18"/>
                <w:szCs w:val="18"/>
              </w:rPr>
              <w:t xml:space="preserve">Zainteresowane </w:t>
            </w:r>
            <w:proofErr w:type="spellStart"/>
            <w:r>
              <w:rPr>
                <w:sz w:val="18"/>
                <w:szCs w:val="18"/>
              </w:rPr>
              <w:t>NGOsy</w:t>
            </w:r>
            <w:proofErr w:type="spellEnd"/>
            <w:r>
              <w:rPr>
                <w:sz w:val="18"/>
                <w:szCs w:val="18"/>
              </w:rPr>
              <w:t>, Miasto Suwałki, PNT</w:t>
            </w:r>
          </w:p>
        </w:tc>
        <w:tc>
          <w:tcPr>
            <w:tcW w:w="1812" w:type="dxa"/>
          </w:tcPr>
          <w:p w:rsidR="00255F44" w:rsidRDefault="00255F44" w:rsidP="00817792">
            <w:pPr>
              <w:jc w:val="both"/>
              <w:rPr>
                <w:sz w:val="18"/>
                <w:szCs w:val="18"/>
              </w:rPr>
            </w:pPr>
            <w:r>
              <w:rPr>
                <w:sz w:val="18"/>
                <w:szCs w:val="18"/>
              </w:rPr>
              <w:t>Przedstawiciele sektora kreatywnego, przedsiębiorcy, NGO</w:t>
            </w:r>
          </w:p>
        </w:tc>
        <w:tc>
          <w:tcPr>
            <w:tcW w:w="1418" w:type="dxa"/>
          </w:tcPr>
          <w:p w:rsidR="00255F44" w:rsidRDefault="00255F44" w:rsidP="00255F44">
            <w:pPr>
              <w:jc w:val="left"/>
            </w:pPr>
            <w:proofErr w:type="spellStart"/>
            <w:r w:rsidRPr="00B671B0">
              <w:rPr>
                <w:sz w:val="18"/>
                <w:szCs w:val="18"/>
              </w:rPr>
              <w:t>b.d</w:t>
            </w:r>
            <w:proofErr w:type="spellEnd"/>
            <w:r w:rsidRPr="00B671B0">
              <w:rPr>
                <w:sz w:val="18"/>
                <w:szCs w:val="18"/>
              </w:rPr>
              <w:t>.</w:t>
            </w:r>
          </w:p>
        </w:tc>
        <w:tc>
          <w:tcPr>
            <w:tcW w:w="1755" w:type="dxa"/>
          </w:tcPr>
          <w:p w:rsidR="00255F44" w:rsidRDefault="00255F44" w:rsidP="00817792">
            <w:pPr>
              <w:jc w:val="both"/>
              <w:rPr>
                <w:sz w:val="18"/>
                <w:szCs w:val="18"/>
              </w:rPr>
            </w:pPr>
            <w:r>
              <w:rPr>
                <w:sz w:val="18"/>
                <w:szCs w:val="18"/>
              </w:rPr>
              <w:t>Fundusze unijne, środki własne partnera</w:t>
            </w:r>
          </w:p>
        </w:tc>
      </w:tr>
    </w:tbl>
    <w:p w:rsidR="00AF2087" w:rsidRDefault="00AF2087" w:rsidP="00D3424D"/>
    <w:p w:rsidR="00817792" w:rsidRDefault="00817792" w:rsidP="00817792">
      <w:pPr>
        <w:pStyle w:val="Nagwek2"/>
      </w:pPr>
      <w:bookmarkStart w:id="42" w:name="_Toc390759493"/>
      <w:r>
        <w:t>Cel operacyjny 1.4 Wzrost przedsiębiorczości</w:t>
      </w:r>
      <w:bookmarkEnd w:id="42"/>
    </w:p>
    <w:p w:rsidR="00817792" w:rsidRDefault="00817792" w:rsidP="00817792">
      <w:pPr>
        <w:autoSpaceDE w:val="0"/>
        <w:autoSpaceDN w:val="0"/>
        <w:adjustRightInd w:val="0"/>
        <w:spacing w:after="0" w:line="240" w:lineRule="auto"/>
        <w:jc w:val="both"/>
        <w:rPr>
          <w:rFonts w:ascii="Calibri" w:hAnsi="Calibri" w:cs="Calibri"/>
        </w:rPr>
      </w:pPr>
      <w:r>
        <w:rPr>
          <w:rFonts w:ascii="Calibri" w:hAnsi="Calibri" w:cs="Calibri"/>
        </w:rPr>
        <w:t>Dla rozwoju społeczno-gospodarczego Suwałk, poza obecnością dużych przedsiębiorstw, istotne znaczenie ma pobudzanie lokalnej przedsiębiorczości. W Suwałkach istnieje dosyć dobrze rozwinięta infrastruktura i instytucje wspierające przedsiębiorczość, dlatego działania samorządu lokalnego powinny w głównej mierze skupić się na tworzeniu dobrego klimatu dla przedsiębiorców oraz wspieraniu przygotowania i wdrożenia zintegrowanej oferty usług biznesowych przy wykorzystaniu potencjału obecnej infrastruktury.</w:t>
      </w:r>
    </w:p>
    <w:p w:rsidR="00817792" w:rsidRDefault="00817792" w:rsidP="00817792">
      <w:pPr>
        <w:autoSpaceDE w:val="0"/>
        <w:autoSpaceDN w:val="0"/>
        <w:adjustRightInd w:val="0"/>
        <w:spacing w:after="0" w:line="240" w:lineRule="auto"/>
        <w:jc w:val="both"/>
        <w:rPr>
          <w:rFonts w:ascii="Calibri" w:hAnsi="Calibri" w:cs="Calibri"/>
        </w:rPr>
      </w:pPr>
    </w:p>
    <w:p w:rsidR="00FC3E45" w:rsidRPr="00FC3E45" w:rsidRDefault="00FC3E45" w:rsidP="00FC3E45">
      <w:pPr>
        <w:jc w:val="both"/>
      </w:pPr>
      <w:r>
        <w:t>Cel będzie wdrażany przez następujące kierunki działań:</w:t>
      </w:r>
    </w:p>
    <w:p w:rsidR="00817792" w:rsidRPr="00F7670E" w:rsidRDefault="00FC3E45" w:rsidP="00F7670E">
      <w:pPr>
        <w:pStyle w:val="Nagwek3"/>
      </w:pPr>
      <w:bookmarkStart w:id="43" w:name="_Toc390759494"/>
      <w:r>
        <w:t>1.4.1. System zachęt i ulg podatkowych dla przedsiębiorców</w:t>
      </w:r>
      <w:bookmarkEnd w:id="43"/>
    </w:p>
    <w:p w:rsidR="00F078DA" w:rsidRPr="00FE59AD" w:rsidRDefault="00155B37" w:rsidP="00F7670E">
      <w:pPr>
        <w:pStyle w:val="Nagwek4"/>
      </w:pPr>
      <w:r w:rsidRPr="00FE59AD">
        <w:t>1.4.</w:t>
      </w:r>
      <w:r w:rsidR="007D75AD" w:rsidRPr="00FE59AD">
        <w:t>1.1</w:t>
      </w:r>
      <w:r w:rsidRPr="00FE59AD">
        <w:t>. Pomoc</w:t>
      </w:r>
      <w:r w:rsidR="00343795" w:rsidRPr="00FE59AD">
        <w:t xml:space="preserve"> de </w:t>
      </w:r>
      <w:proofErr w:type="spellStart"/>
      <w:r w:rsidR="00343795" w:rsidRPr="00FE59AD">
        <w:t>minimis</w:t>
      </w:r>
      <w:proofErr w:type="spellEnd"/>
    </w:p>
    <w:p w:rsidR="00C40500" w:rsidRDefault="00FE59AD" w:rsidP="00FE59AD">
      <w:pPr>
        <w:spacing w:after="0" w:line="240" w:lineRule="auto"/>
        <w:jc w:val="both"/>
      </w:pPr>
      <w:r w:rsidRPr="00CD309F">
        <w:t xml:space="preserve">Miasto będzie kontynuować </w:t>
      </w:r>
      <w:r w:rsidR="00155B37" w:rsidRPr="00CD309F">
        <w:t>zwolnienia</w:t>
      </w:r>
      <w:r w:rsidR="00255F44" w:rsidRPr="00CD309F">
        <w:t xml:space="preserve"> podatkowe</w:t>
      </w:r>
      <w:r w:rsidR="00F7670E" w:rsidRPr="00CD309F">
        <w:t xml:space="preserve"> w podatku od nieruchomości </w:t>
      </w:r>
      <w:r w:rsidR="00155B37" w:rsidRPr="00CD309F">
        <w:t>dla przedsiębiorców prowadzących działalnoś</w:t>
      </w:r>
      <w:r w:rsidRPr="00CD309F">
        <w:t>ć gospodarczą na terenie miasta pod w</w:t>
      </w:r>
      <w:r w:rsidR="00C40500" w:rsidRPr="00CD309F">
        <w:t xml:space="preserve">arunkiem </w:t>
      </w:r>
      <w:r w:rsidRPr="00CD309F">
        <w:t>zrealizowania</w:t>
      </w:r>
      <w:r w:rsidR="00C40500" w:rsidRPr="00CD309F">
        <w:t xml:space="preserve"> na terenie miasta Suwałk inwestycji początkowej (budowa, odbudowa, rozbudowa, nadbudowa budy</w:t>
      </w:r>
      <w:r w:rsidRPr="00CD309F">
        <w:t>nków i budowli lub ich części) oraz zatr</w:t>
      </w:r>
      <w:r w:rsidR="00C54F4C" w:rsidRPr="00CD309F">
        <w:t>udnienia określonej liczby osób.</w:t>
      </w:r>
    </w:p>
    <w:p w:rsidR="00CD309F" w:rsidRDefault="00CD309F" w:rsidP="00FE59AD">
      <w:pPr>
        <w:spacing w:after="0" w:line="240" w:lineRule="auto"/>
        <w:jc w:val="both"/>
      </w:pPr>
      <w:r>
        <w:t xml:space="preserve">W poprzednich latach wsparcie </w:t>
      </w:r>
      <w:r w:rsidR="000D1813">
        <w:t>przedsiębiorców za pomocą tego instrumentu</w:t>
      </w:r>
      <w:r>
        <w:t xml:space="preserve"> prezentowało się w następujący sposób:</w:t>
      </w:r>
    </w:p>
    <w:p w:rsidR="00BC1C74" w:rsidRDefault="00BC1C74" w:rsidP="00BC1C74">
      <w:pPr>
        <w:spacing w:after="0" w:line="240" w:lineRule="auto"/>
        <w:jc w:val="both"/>
        <w:rPr>
          <w:b/>
        </w:rPr>
      </w:pPr>
    </w:p>
    <w:p w:rsidR="00CD309F" w:rsidRPr="00BC1C74" w:rsidRDefault="00BC1C74" w:rsidP="00BC1C74">
      <w:pPr>
        <w:spacing w:after="0" w:line="240" w:lineRule="auto"/>
        <w:jc w:val="both"/>
        <w:rPr>
          <w:b/>
        </w:rPr>
      </w:pPr>
      <w:r>
        <w:rPr>
          <w:b/>
        </w:rPr>
        <w:t>Tabela nr 5</w:t>
      </w:r>
      <w:r w:rsidRPr="00BC1C74">
        <w:rPr>
          <w:b/>
        </w:rPr>
        <w:t xml:space="preserve"> </w:t>
      </w:r>
      <w:r>
        <w:t xml:space="preserve">„Pomoc </w:t>
      </w:r>
      <w:r w:rsidRPr="00BC1C74">
        <w:rPr>
          <w:i/>
        </w:rPr>
        <w:t xml:space="preserve">de </w:t>
      </w:r>
      <w:proofErr w:type="spellStart"/>
      <w:r w:rsidRPr="00BC1C74">
        <w:rPr>
          <w:i/>
        </w:rPr>
        <w:t>minimis</w:t>
      </w:r>
      <w:proofErr w:type="spellEnd"/>
      <w:r>
        <w:t xml:space="preserve"> w Suwałkach w latach 2012-2014”.</w:t>
      </w:r>
    </w:p>
    <w:tbl>
      <w:tblPr>
        <w:tblStyle w:val="Tabela-Siatka"/>
        <w:tblpPr w:leftFromText="141" w:rightFromText="141" w:vertAnchor="text" w:horzAnchor="margin" w:tblpY="117"/>
        <w:tblW w:w="9773" w:type="dxa"/>
        <w:tblLook w:val="04A0"/>
      </w:tblPr>
      <w:tblGrid>
        <w:gridCol w:w="3281"/>
        <w:gridCol w:w="3303"/>
        <w:gridCol w:w="3189"/>
      </w:tblGrid>
      <w:tr w:rsidR="00CD309F" w:rsidTr="00CD309F">
        <w:trPr>
          <w:trHeight w:val="341"/>
        </w:trPr>
        <w:tc>
          <w:tcPr>
            <w:tcW w:w="3281" w:type="dxa"/>
            <w:shd w:val="clear" w:color="auto" w:fill="548DD4" w:themeFill="text2" w:themeFillTint="99"/>
          </w:tcPr>
          <w:p w:rsidR="00CD309F" w:rsidRPr="00E75360" w:rsidRDefault="00CD309F" w:rsidP="00CD309F">
            <w:pPr>
              <w:pStyle w:val="Akapitzlist"/>
              <w:ind w:left="0"/>
              <w:jc w:val="left"/>
              <w:rPr>
                <w:color w:val="FFFFFF" w:themeColor="background1"/>
                <w:sz w:val="20"/>
                <w:szCs w:val="20"/>
              </w:rPr>
            </w:pPr>
            <w:r>
              <w:rPr>
                <w:color w:val="FFFFFF" w:themeColor="background1"/>
                <w:sz w:val="20"/>
                <w:szCs w:val="20"/>
              </w:rPr>
              <w:t>Lata</w:t>
            </w:r>
          </w:p>
        </w:tc>
        <w:tc>
          <w:tcPr>
            <w:tcW w:w="3303" w:type="dxa"/>
            <w:shd w:val="clear" w:color="auto" w:fill="548DD4" w:themeFill="text2" w:themeFillTint="99"/>
          </w:tcPr>
          <w:p w:rsidR="00CD309F" w:rsidRPr="00E75360" w:rsidRDefault="00CD309F" w:rsidP="00CD309F">
            <w:pPr>
              <w:pStyle w:val="Akapitzlist"/>
              <w:ind w:left="0"/>
              <w:jc w:val="left"/>
              <w:rPr>
                <w:color w:val="FFFFFF" w:themeColor="background1"/>
                <w:sz w:val="20"/>
                <w:szCs w:val="20"/>
              </w:rPr>
            </w:pPr>
            <w:r>
              <w:rPr>
                <w:color w:val="FFFFFF" w:themeColor="background1"/>
                <w:sz w:val="20"/>
                <w:szCs w:val="20"/>
              </w:rPr>
              <w:t>Liczba podmiotów</w:t>
            </w:r>
          </w:p>
        </w:tc>
        <w:tc>
          <w:tcPr>
            <w:tcW w:w="3189" w:type="dxa"/>
            <w:shd w:val="clear" w:color="auto" w:fill="548DD4" w:themeFill="text2" w:themeFillTint="99"/>
          </w:tcPr>
          <w:p w:rsidR="00CD309F" w:rsidRPr="00E75360" w:rsidRDefault="00CD309F" w:rsidP="00CD309F">
            <w:pPr>
              <w:pStyle w:val="Akapitzlist"/>
              <w:ind w:left="0"/>
              <w:jc w:val="left"/>
              <w:rPr>
                <w:color w:val="FFFFFF" w:themeColor="background1"/>
                <w:sz w:val="20"/>
                <w:szCs w:val="20"/>
              </w:rPr>
            </w:pPr>
            <w:r>
              <w:rPr>
                <w:color w:val="FFFFFF" w:themeColor="background1"/>
                <w:sz w:val="20"/>
                <w:szCs w:val="20"/>
              </w:rPr>
              <w:t>Wartość</w:t>
            </w:r>
          </w:p>
        </w:tc>
      </w:tr>
      <w:tr w:rsidR="00CD309F" w:rsidTr="000D1813">
        <w:trPr>
          <w:trHeight w:val="216"/>
        </w:trPr>
        <w:tc>
          <w:tcPr>
            <w:tcW w:w="3281" w:type="dxa"/>
            <w:tcBorders>
              <w:bottom w:val="single" w:sz="4" w:space="0" w:color="auto"/>
            </w:tcBorders>
          </w:tcPr>
          <w:p w:rsidR="00CD309F" w:rsidRPr="00E75360" w:rsidRDefault="00CD309F" w:rsidP="00CD309F">
            <w:pPr>
              <w:pStyle w:val="Akapitzlist"/>
              <w:ind w:left="0"/>
              <w:jc w:val="both"/>
              <w:rPr>
                <w:sz w:val="18"/>
                <w:szCs w:val="18"/>
              </w:rPr>
            </w:pPr>
            <w:r>
              <w:rPr>
                <w:sz w:val="18"/>
                <w:szCs w:val="18"/>
              </w:rPr>
              <w:t>2012</w:t>
            </w:r>
          </w:p>
        </w:tc>
        <w:tc>
          <w:tcPr>
            <w:tcW w:w="3303" w:type="dxa"/>
            <w:tcBorders>
              <w:bottom w:val="single" w:sz="4" w:space="0" w:color="auto"/>
            </w:tcBorders>
          </w:tcPr>
          <w:p w:rsidR="00CD309F" w:rsidRPr="00E75360" w:rsidRDefault="00CD309F" w:rsidP="00CD309F">
            <w:pPr>
              <w:pStyle w:val="Akapitzlist"/>
              <w:ind w:left="0"/>
              <w:jc w:val="both"/>
              <w:rPr>
                <w:sz w:val="18"/>
                <w:szCs w:val="18"/>
              </w:rPr>
            </w:pPr>
            <w:r>
              <w:rPr>
                <w:sz w:val="18"/>
                <w:szCs w:val="18"/>
              </w:rPr>
              <w:t>3</w:t>
            </w:r>
          </w:p>
        </w:tc>
        <w:tc>
          <w:tcPr>
            <w:tcW w:w="3189" w:type="dxa"/>
            <w:tcBorders>
              <w:bottom w:val="single" w:sz="4" w:space="0" w:color="auto"/>
            </w:tcBorders>
          </w:tcPr>
          <w:p w:rsidR="00CD309F" w:rsidRPr="00B57A64" w:rsidRDefault="000D1813" w:rsidP="00CD309F">
            <w:pPr>
              <w:pStyle w:val="Akapitzlist"/>
              <w:ind w:left="0"/>
              <w:jc w:val="both"/>
              <w:rPr>
                <w:sz w:val="18"/>
                <w:szCs w:val="18"/>
              </w:rPr>
            </w:pPr>
            <w:r>
              <w:rPr>
                <w:sz w:val="18"/>
                <w:szCs w:val="18"/>
              </w:rPr>
              <w:t>171.069</w:t>
            </w:r>
            <w:r w:rsidR="00CD309F">
              <w:rPr>
                <w:sz w:val="18"/>
                <w:szCs w:val="18"/>
              </w:rPr>
              <w:t xml:space="preserve"> zł</w:t>
            </w:r>
          </w:p>
        </w:tc>
      </w:tr>
      <w:tr w:rsidR="00CD309F" w:rsidTr="000D1813">
        <w:trPr>
          <w:trHeight w:val="281"/>
        </w:trPr>
        <w:tc>
          <w:tcPr>
            <w:tcW w:w="3281" w:type="dxa"/>
            <w:shd w:val="clear" w:color="auto" w:fill="548DD4" w:themeFill="text2" w:themeFillTint="99"/>
          </w:tcPr>
          <w:p w:rsidR="00CD309F" w:rsidRPr="000D1813" w:rsidRDefault="00CD309F" w:rsidP="00CD309F">
            <w:pPr>
              <w:pStyle w:val="Akapitzlist"/>
              <w:ind w:left="0"/>
              <w:jc w:val="both"/>
              <w:rPr>
                <w:color w:val="FFFFFF" w:themeColor="background1"/>
                <w:sz w:val="18"/>
                <w:szCs w:val="18"/>
              </w:rPr>
            </w:pPr>
            <w:r w:rsidRPr="000D1813">
              <w:rPr>
                <w:color w:val="FFFFFF" w:themeColor="background1"/>
                <w:sz w:val="18"/>
                <w:szCs w:val="18"/>
              </w:rPr>
              <w:t>2013</w:t>
            </w:r>
          </w:p>
        </w:tc>
        <w:tc>
          <w:tcPr>
            <w:tcW w:w="3303" w:type="dxa"/>
            <w:shd w:val="clear" w:color="auto" w:fill="548DD4" w:themeFill="text2" w:themeFillTint="99"/>
          </w:tcPr>
          <w:p w:rsidR="00CD309F" w:rsidRPr="000D1813" w:rsidRDefault="00D53DF7" w:rsidP="00CD309F">
            <w:pPr>
              <w:pStyle w:val="Akapitzlist"/>
              <w:ind w:left="0"/>
              <w:jc w:val="both"/>
              <w:rPr>
                <w:color w:val="FFFFFF" w:themeColor="background1"/>
                <w:sz w:val="18"/>
                <w:szCs w:val="18"/>
              </w:rPr>
            </w:pPr>
            <w:r>
              <w:rPr>
                <w:color w:val="FFFFFF" w:themeColor="background1"/>
                <w:sz w:val="18"/>
                <w:szCs w:val="18"/>
              </w:rPr>
              <w:t>8</w:t>
            </w:r>
          </w:p>
        </w:tc>
        <w:tc>
          <w:tcPr>
            <w:tcW w:w="3189" w:type="dxa"/>
            <w:shd w:val="clear" w:color="auto" w:fill="548DD4" w:themeFill="text2" w:themeFillTint="99"/>
          </w:tcPr>
          <w:p w:rsidR="00CD309F" w:rsidRPr="000D1813" w:rsidRDefault="00D53DF7" w:rsidP="00CD309F">
            <w:pPr>
              <w:pStyle w:val="Akapitzlist"/>
              <w:ind w:left="0"/>
              <w:jc w:val="both"/>
              <w:rPr>
                <w:color w:val="FFFFFF" w:themeColor="background1"/>
                <w:sz w:val="18"/>
                <w:szCs w:val="18"/>
              </w:rPr>
            </w:pPr>
            <w:r>
              <w:rPr>
                <w:color w:val="FFFFFF" w:themeColor="background1"/>
                <w:sz w:val="18"/>
                <w:szCs w:val="18"/>
              </w:rPr>
              <w:t>560.477 zł</w:t>
            </w:r>
          </w:p>
        </w:tc>
      </w:tr>
      <w:tr w:rsidR="00CD309F" w:rsidTr="00CD309F">
        <w:trPr>
          <w:trHeight w:val="301"/>
        </w:trPr>
        <w:tc>
          <w:tcPr>
            <w:tcW w:w="3281" w:type="dxa"/>
          </w:tcPr>
          <w:p w:rsidR="00CD309F" w:rsidRPr="00E75360" w:rsidRDefault="00CD309F" w:rsidP="00CD309F">
            <w:pPr>
              <w:pStyle w:val="Akapitzlist"/>
              <w:ind w:left="0"/>
              <w:jc w:val="both"/>
              <w:rPr>
                <w:sz w:val="18"/>
                <w:szCs w:val="18"/>
              </w:rPr>
            </w:pPr>
            <w:r>
              <w:rPr>
                <w:sz w:val="18"/>
                <w:szCs w:val="18"/>
              </w:rPr>
              <w:t>2014</w:t>
            </w:r>
          </w:p>
        </w:tc>
        <w:tc>
          <w:tcPr>
            <w:tcW w:w="3303" w:type="dxa"/>
          </w:tcPr>
          <w:p w:rsidR="00CD309F" w:rsidRPr="00E75360" w:rsidRDefault="00D53DF7" w:rsidP="00CD309F">
            <w:pPr>
              <w:pStyle w:val="Akapitzlist"/>
              <w:ind w:left="0"/>
              <w:jc w:val="both"/>
              <w:rPr>
                <w:sz w:val="18"/>
                <w:szCs w:val="18"/>
              </w:rPr>
            </w:pPr>
            <w:r>
              <w:rPr>
                <w:sz w:val="18"/>
                <w:szCs w:val="18"/>
              </w:rPr>
              <w:t>10</w:t>
            </w:r>
          </w:p>
        </w:tc>
        <w:tc>
          <w:tcPr>
            <w:tcW w:w="3189" w:type="dxa"/>
          </w:tcPr>
          <w:p w:rsidR="00CD309F" w:rsidRPr="00CB386C" w:rsidRDefault="00D53DF7" w:rsidP="00CD309F">
            <w:pPr>
              <w:pStyle w:val="Akapitzlist"/>
              <w:ind w:left="0"/>
              <w:jc w:val="both"/>
              <w:rPr>
                <w:sz w:val="18"/>
                <w:szCs w:val="18"/>
              </w:rPr>
            </w:pPr>
            <w:r>
              <w:rPr>
                <w:sz w:val="18"/>
                <w:szCs w:val="18"/>
              </w:rPr>
              <w:t>823.672 zł</w:t>
            </w:r>
          </w:p>
        </w:tc>
      </w:tr>
    </w:tbl>
    <w:p w:rsidR="00C40500" w:rsidRPr="00255F44" w:rsidRDefault="00C40500" w:rsidP="00FE59AD">
      <w:pPr>
        <w:spacing w:after="0" w:line="240" w:lineRule="auto"/>
        <w:jc w:val="both"/>
      </w:pPr>
    </w:p>
    <w:p w:rsidR="0038175F" w:rsidRPr="0038175F" w:rsidRDefault="00F7670E" w:rsidP="0038175F">
      <w:pPr>
        <w:pStyle w:val="Nagwek4"/>
      </w:pPr>
      <w:r>
        <w:t>1.4.</w:t>
      </w:r>
      <w:r w:rsidR="007D75AD">
        <w:t>1.2</w:t>
      </w:r>
      <w:r>
        <w:t xml:space="preserve"> </w:t>
      </w:r>
      <w:r w:rsidR="00255F44">
        <w:t>Gospodarka lokalami użytkowymi</w:t>
      </w:r>
    </w:p>
    <w:p w:rsidR="00255F44" w:rsidRDefault="00255F44" w:rsidP="00255F44">
      <w:pPr>
        <w:spacing w:after="0" w:line="240" w:lineRule="auto"/>
        <w:jc w:val="both"/>
      </w:pPr>
      <w:r>
        <w:t>Celem gospodarki lokalami użytkowymi będzie preferowanie rozwoju określonego profilu przedsiębiorczości pożądanej w poszczególnych częściach miasta.</w:t>
      </w:r>
      <w:r w:rsidRPr="00AA426D">
        <w:t xml:space="preserve"> </w:t>
      </w:r>
      <w:r>
        <w:t xml:space="preserve">W szczególności preferencje będą dotyczyć rejonu </w:t>
      </w:r>
      <w:r w:rsidRPr="00AA426D">
        <w:t>Placu Marii Konopnickiej</w:t>
      </w:r>
      <w:r>
        <w:t>,</w:t>
      </w:r>
      <w:r w:rsidRPr="003652B5">
        <w:t xml:space="preserve"> </w:t>
      </w:r>
      <w:r>
        <w:t>położonego</w:t>
      </w:r>
      <w:r w:rsidRPr="003652B5">
        <w:t xml:space="preserve"> w centralnej czę</w:t>
      </w:r>
      <w:r w:rsidR="00E502B3">
        <w:t>ści miasta Suwałki, wokół którego</w:t>
      </w:r>
      <w:r w:rsidRPr="003652B5">
        <w:t xml:space="preserve"> koncentruje się całe życie miasta</w:t>
      </w:r>
      <w:r>
        <w:t>.</w:t>
      </w:r>
      <w:r w:rsidRPr="00AA426D">
        <w:t xml:space="preserve"> </w:t>
      </w:r>
      <w:r>
        <w:t>W przeszłości plac Marii Konopnickiej był placem targowym w całości wyłożonym brukiem, a w części zabudowany drewnianymi stoiskami. Było to jedno z najważniejszych miejsc handlowych w Suwałkach. Po II wojnie światowej</w:t>
      </w:r>
      <w:r w:rsidR="00AE1D80">
        <w:t>, w latach 60-tych XX wieku,</w:t>
      </w:r>
      <w:r>
        <w:t xml:space="preserve"> bruk usunięto i urządzono tu wypoczynkowy skwer miejski. Z biegiem lat infrastruktura i teren wokół placu uległy widocznemu zniszczeniu. Dlatego też władze Miasta podjęły działania w kierunku rewaloryzacji i kompleksowego zagospodarowania Placu Marii Konopnickiej w celu stworzenia atrakcyjnej miejskiej tkanki  w sercu Suwałk, tętniącej życiem mieszkańców i turystów.</w:t>
      </w:r>
    </w:p>
    <w:p w:rsidR="00255F44" w:rsidRDefault="00255F44" w:rsidP="00255F44">
      <w:pPr>
        <w:pStyle w:val="Akapitzlist"/>
        <w:spacing w:after="0" w:line="240" w:lineRule="auto"/>
        <w:ind w:left="360"/>
        <w:jc w:val="both"/>
      </w:pPr>
    </w:p>
    <w:p w:rsidR="00255F44" w:rsidRDefault="00255F44" w:rsidP="00255F44">
      <w:pPr>
        <w:spacing w:after="0" w:line="240" w:lineRule="auto"/>
        <w:jc w:val="both"/>
      </w:pPr>
      <w:r>
        <w:t>Oprócz walorów turystycznych i rekreacyjnych inwestycje przeprowadzone na placu mają przyczynić się do wzrostu atrakcyjności tego obszaru miasta. Założeniem działań inwestycyjnych jest stworzenie dogodnych warunków dla rozwoju podmiotów gospodarczych, zwłaszcza w dziedzinie turystyki i rekreacji poprzez utworzenie atrakcyjnego miejsca przeznaczonego pod lokalizację działalności gastronomicznej i restauracyjnej.</w:t>
      </w:r>
    </w:p>
    <w:p w:rsidR="00255F44" w:rsidRDefault="00255F44" w:rsidP="00255F44">
      <w:pPr>
        <w:spacing w:after="0" w:line="240" w:lineRule="auto"/>
        <w:jc w:val="both"/>
      </w:pPr>
    </w:p>
    <w:p w:rsidR="00817792" w:rsidRDefault="00817792" w:rsidP="00817792">
      <w:pPr>
        <w:autoSpaceDE w:val="0"/>
        <w:autoSpaceDN w:val="0"/>
        <w:adjustRightInd w:val="0"/>
        <w:spacing w:after="0" w:line="240" w:lineRule="auto"/>
        <w:jc w:val="both"/>
        <w:rPr>
          <w:rFonts w:ascii="Calibri" w:hAnsi="Calibri" w:cs="Calibri"/>
        </w:rPr>
      </w:pPr>
      <w:r w:rsidRPr="00817792">
        <w:rPr>
          <w:rFonts w:ascii="Calibri" w:hAnsi="Calibri" w:cs="Calibri"/>
        </w:rPr>
        <w:t>W celu</w:t>
      </w:r>
      <w:r>
        <w:rPr>
          <w:rFonts w:ascii="Calibri" w:hAnsi="Calibri" w:cs="Calibri"/>
          <w:b/>
        </w:rPr>
        <w:t xml:space="preserve"> </w:t>
      </w:r>
      <w:r>
        <w:rPr>
          <w:rFonts w:ascii="Calibri" w:hAnsi="Calibri" w:cs="Calibri"/>
        </w:rPr>
        <w:t>właściwego wykorz</w:t>
      </w:r>
      <w:r w:rsidR="00F7670E">
        <w:rPr>
          <w:rFonts w:ascii="Calibri" w:hAnsi="Calibri" w:cs="Calibri"/>
        </w:rPr>
        <w:t>ystania potencjału Placu Marii K</w:t>
      </w:r>
      <w:r>
        <w:rPr>
          <w:rFonts w:ascii="Calibri" w:hAnsi="Calibri" w:cs="Calibri"/>
        </w:rPr>
        <w:t>onopnickiej jako centralnego punktu miasta, przewiduje si</w:t>
      </w:r>
      <w:r w:rsidR="00AE1D80">
        <w:rPr>
          <w:rFonts w:ascii="Calibri" w:hAnsi="Calibri" w:cs="Calibri"/>
        </w:rPr>
        <w:t xml:space="preserve">ę </w:t>
      </w:r>
      <w:r w:rsidR="008D2FE6">
        <w:rPr>
          <w:rFonts w:ascii="Calibri" w:hAnsi="Calibri" w:cs="Calibri"/>
        </w:rPr>
        <w:t>ogłaszanie przetargów na lokale stanowiące własność Gminy Miasto Suwałki</w:t>
      </w:r>
      <w:r w:rsidR="002D29B7">
        <w:rPr>
          <w:rFonts w:ascii="Calibri" w:hAnsi="Calibri" w:cs="Calibri"/>
        </w:rPr>
        <w:t xml:space="preserve"> </w:t>
      </w:r>
      <w:r>
        <w:rPr>
          <w:rFonts w:ascii="Calibri" w:hAnsi="Calibri" w:cs="Calibri"/>
        </w:rPr>
        <w:t xml:space="preserve">dla przedsiębiorców z branży gastronomicznej, restauratorów </w:t>
      </w:r>
      <w:r w:rsidR="002D29B7">
        <w:rPr>
          <w:rFonts w:ascii="Calibri" w:hAnsi="Calibri" w:cs="Calibri"/>
        </w:rPr>
        <w:t>jak również innych działalności gospodarczych związanych z funkcją placu</w:t>
      </w:r>
      <w:r w:rsidR="008D2FE6">
        <w:rPr>
          <w:rFonts w:ascii="Calibri" w:hAnsi="Calibri" w:cs="Calibri"/>
        </w:rPr>
        <w:t>.</w:t>
      </w:r>
    </w:p>
    <w:p w:rsidR="008D2FE6" w:rsidRDefault="008D2FE6" w:rsidP="00817792">
      <w:pPr>
        <w:autoSpaceDE w:val="0"/>
        <w:autoSpaceDN w:val="0"/>
        <w:adjustRightInd w:val="0"/>
        <w:spacing w:after="0" w:line="240" w:lineRule="auto"/>
        <w:jc w:val="both"/>
        <w:rPr>
          <w:rFonts w:ascii="Calibri" w:hAnsi="Calibri" w:cs="Calibri"/>
        </w:rPr>
      </w:pPr>
    </w:p>
    <w:p w:rsidR="00817792" w:rsidRDefault="00817792" w:rsidP="00817792">
      <w:pPr>
        <w:autoSpaceDE w:val="0"/>
        <w:autoSpaceDN w:val="0"/>
        <w:adjustRightInd w:val="0"/>
        <w:spacing w:after="0" w:line="240" w:lineRule="auto"/>
        <w:jc w:val="both"/>
        <w:rPr>
          <w:rFonts w:ascii="Calibri" w:hAnsi="Calibri" w:cs="Calibri"/>
        </w:rPr>
      </w:pPr>
      <w:r>
        <w:rPr>
          <w:rFonts w:ascii="Calibri" w:hAnsi="Calibri" w:cs="Calibri"/>
        </w:rPr>
        <w:t xml:space="preserve">Dodatkowo, restauratorzy będą mogli liczyć na </w:t>
      </w:r>
      <w:r w:rsidR="00A94FB6">
        <w:rPr>
          <w:rFonts w:ascii="Calibri" w:hAnsi="Calibri" w:cs="Calibri"/>
          <w:b/>
        </w:rPr>
        <w:t>preferencyjne stawki opłat</w:t>
      </w:r>
      <w:r w:rsidR="008D2FE6">
        <w:rPr>
          <w:rFonts w:ascii="Calibri" w:hAnsi="Calibri" w:cs="Calibri"/>
          <w:b/>
        </w:rPr>
        <w:t xml:space="preserve"> za zajęcie pasa </w:t>
      </w:r>
      <w:r w:rsidRPr="00817792">
        <w:rPr>
          <w:rFonts w:ascii="Calibri" w:hAnsi="Calibri" w:cs="Calibri"/>
          <w:b/>
        </w:rPr>
        <w:t>drogowego</w:t>
      </w:r>
      <w:r w:rsidR="007F7421">
        <w:rPr>
          <w:rFonts w:ascii="Calibri" w:hAnsi="Calibri" w:cs="Calibri"/>
          <w:b/>
        </w:rPr>
        <w:t xml:space="preserve"> oraz placu</w:t>
      </w:r>
      <w:r>
        <w:rPr>
          <w:rFonts w:ascii="Calibri" w:hAnsi="Calibri" w:cs="Calibri"/>
        </w:rPr>
        <w:t xml:space="preserve"> na potrzeby ogródków kawiarnianych. </w:t>
      </w:r>
      <w:r w:rsidR="00A94FB6">
        <w:rPr>
          <w:rFonts w:ascii="Calibri" w:hAnsi="Calibri" w:cs="Calibri"/>
        </w:rPr>
        <w:t>System preferencji</w:t>
      </w:r>
      <w:r w:rsidR="00F078DA">
        <w:rPr>
          <w:rFonts w:ascii="Calibri" w:hAnsi="Calibri" w:cs="Calibri"/>
        </w:rPr>
        <w:t xml:space="preserve"> ma doprowadzić do właściwego ukształtowania struktury usługowej wokół Placu, tak aby miejsce to tętniło życiem i przyciągało mieszkańców i turystów.</w:t>
      </w:r>
      <w:r w:rsidR="007D75AD">
        <w:rPr>
          <w:rFonts w:ascii="Calibri" w:hAnsi="Calibri" w:cs="Calibri"/>
        </w:rPr>
        <w:t xml:space="preserve"> Stawki te ustalono na minima</w:t>
      </w:r>
      <w:r w:rsidR="008D2FE6">
        <w:rPr>
          <w:rFonts w:ascii="Calibri" w:hAnsi="Calibri" w:cs="Calibri"/>
        </w:rPr>
        <w:t>lnym poziomie 0,20 zł./</w:t>
      </w:r>
      <w:proofErr w:type="spellStart"/>
      <w:r w:rsidR="008D2FE6">
        <w:rPr>
          <w:rFonts w:ascii="Calibri" w:hAnsi="Calibri" w:cs="Calibri"/>
        </w:rPr>
        <w:t>m²</w:t>
      </w:r>
      <w:proofErr w:type="spellEnd"/>
      <w:r w:rsidR="008D2FE6">
        <w:rPr>
          <w:rFonts w:ascii="Calibri" w:hAnsi="Calibri" w:cs="Calibri"/>
        </w:rPr>
        <w:t>/dzień, tj. znacząco niższym niż w innych miastach województwa.</w:t>
      </w:r>
    </w:p>
    <w:p w:rsidR="00255F44" w:rsidRDefault="00255F44" w:rsidP="00817792">
      <w:pPr>
        <w:autoSpaceDE w:val="0"/>
        <w:autoSpaceDN w:val="0"/>
        <w:adjustRightInd w:val="0"/>
        <w:spacing w:after="0" w:line="240" w:lineRule="auto"/>
        <w:jc w:val="both"/>
        <w:rPr>
          <w:rFonts w:ascii="Calibri" w:hAnsi="Calibri" w:cs="Calibri"/>
        </w:rPr>
      </w:pPr>
    </w:p>
    <w:p w:rsidR="00255F44" w:rsidRDefault="00255F44" w:rsidP="00817792">
      <w:pPr>
        <w:autoSpaceDE w:val="0"/>
        <w:autoSpaceDN w:val="0"/>
        <w:adjustRightInd w:val="0"/>
        <w:spacing w:after="0" w:line="240" w:lineRule="auto"/>
        <w:jc w:val="both"/>
        <w:rPr>
          <w:rFonts w:ascii="Calibri" w:hAnsi="Calibri" w:cs="Calibri"/>
        </w:rPr>
      </w:pPr>
      <w:r>
        <w:rPr>
          <w:rFonts w:ascii="Calibri" w:hAnsi="Calibri" w:cs="Calibri"/>
        </w:rPr>
        <w:t>Działanie to będzie częścią szerszej polityki władz Miasta dotyczącej gospodarki lokalami użytkowymi, w ramach której część lokali będzie wystawiona na wynajem pod prowadzenie konkretnej działalności gospodarczej. Oferta dla przedsiębiorców będzie odpowiednio nagłośniona. Wszelkie informacje nt. temat będą zawarte m.in. w ogłoszeniach ZBM.</w:t>
      </w:r>
    </w:p>
    <w:p w:rsidR="007D75AD" w:rsidRDefault="007D75AD" w:rsidP="00817792">
      <w:pPr>
        <w:autoSpaceDE w:val="0"/>
        <w:autoSpaceDN w:val="0"/>
        <w:adjustRightInd w:val="0"/>
        <w:spacing w:after="0" w:line="240" w:lineRule="auto"/>
        <w:jc w:val="both"/>
        <w:rPr>
          <w:rFonts w:ascii="Calibri" w:hAnsi="Calibri" w:cs="Calibri"/>
        </w:rPr>
      </w:pPr>
    </w:p>
    <w:p w:rsidR="00BC1C74" w:rsidRDefault="00BC1C74" w:rsidP="00255F44">
      <w:pPr>
        <w:pStyle w:val="Nagwek4"/>
        <w:jc w:val="both"/>
      </w:pPr>
    </w:p>
    <w:p w:rsidR="00BC1C74" w:rsidRPr="00BC1C74" w:rsidRDefault="00BC1C74" w:rsidP="00BC1C74"/>
    <w:p w:rsidR="007D75AD" w:rsidRDefault="007D75AD" w:rsidP="00255F44">
      <w:pPr>
        <w:pStyle w:val="Nagwek4"/>
        <w:jc w:val="both"/>
      </w:pPr>
      <w:r>
        <w:t>1.4.1.3.Obniżki czynszów dla podmiotów wynajmujących lokale przy remontowanych ulicach i placach.</w:t>
      </w:r>
    </w:p>
    <w:p w:rsidR="00647F85" w:rsidRDefault="007D75AD" w:rsidP="00C47BAC">
      <w:pPr>
        <w:spacing w:after="0" w:line="240" w:lineRule="auto"/>
        <w:jc w:val="both"/>
      </w:pPr>
      <w:r>
        <w:t>Dodatkowym instrumentem wsparcia</w:t>
      </w:r>
      <w:r w:rsidR="00C47BAC">
        <w:t xml:space="preserve"> przedsiębiorców oraz właściwego wykorzystania atutów płynących z atrakcyjnych, odnowionych przestrzeni miejskich będą </w:t>
      </w:r>
      <w:r w:rsidR="00C47BAC" w:rsidRPr="00727181">
        <w:rPr>
          <w:b/>
        </w:rPr>
        <w:t>obniżki czynszów dla podmiotów</w:t>
      </w:r>
      <w:r w:rsidR="00647F85" w:rsidRPr="00727181">
        <w:rPr>
          <w:b/>
        </w:rPr>
        <w:t>, prowadzących działalność przy remontowanych ulicach</w:t>
      </w:r>
      <w:r w:rsidR="00647F85">
        <w:t xml:space="preserve"> jako rekompensatę za utrudnienia spowodowane przez prace remontowe, w lokalach stanowiących własność miasta Suwałki.</w:t>
      </w:r>
    </w:p>
    <w:p w:rsidR="00647F85" w:rsidRDefault="00647F85" w:rsidP="00C47BAC">
      <w:pPr>
        <w:spacing w:after="0" w:line="240" w:lineRule="auto"/>
        <w:jc w:val="both"/>
      </w:pPr>
      <w:r>
        <w:t xml:space="preserve"> </w:t>
      </w:r>
    </w:p>
    <w:p w:rsidR="00FE59AD" w:rsidRDefault="00C47BAC" w:rsidP="00FE59AD">
      <w:pPr>
        <w:spacing w:after="0" w:line="240" w:lineRule="auto"/>
        <w:jc w:val="both"/>
      </w:pPr>
      <w:r>
        <w:t>Przewiduje się w tym celu wprowadzenie 50% obniżek czynszów</w:t>
      </w:r>
      <w:r w:rsidR="00647F85">
        <w:t xml:space="preserve"> w poszczególnych lokalizacjach, na czas remontów ulic.</w:t>
      </w:r>
    </w:p>
    <w:p w:rsidR="00C54F4C" w:rsidRDefault="00C54F4C" w:rsidP="00C54F4C">
      <w:pPr>
        <w:spacing w:after="0" w:line="240" w:lineRule="auto"/>
        <w:jc w:val="both"/>
        <w:rPr>
          <w:rStyle w:val="Pogrubienie"/>
          <w:b w:val="0"/>
          <w:bCs w:val="0"/>
        </w:rPr>
      </w:pPr>
    </w:p>
    <w:p w:rsidR="00C54F4C" w:rsidRDefault="00C54F4C" w:rsidP="00C54F4C">
      <w:pPr>
        <w:spacing w:after="0" w:line="240" w:lineRule="auto"/>
        <w:jc w:val="both"/>
        <w:rPr>
          <w:rStyle w:val="Pogrubienie"/>
          <w:b w:val="0"/>
          <w:bCs w:val="0"/>
        </w:rPr>
      </w:pPr>
      <w:r>
        <w:rPr>
          <w:rStyle w:val="Pogrubienie"/>
          <w:b w:val="0"/>
          <w:bCs w:val="0"/>
        </w:rPr>
        <w:t>Szczegółowe warunki wprowadzania obniżek czynszów określi uchwała Rady Miejskiej w Suwałkach.</w:t>
      </w:r>
    </w:p>
    <w:p w:rsidR="00FE59AD" w:rsidRDefault="00FE59AD" w:rsidP="00FE59AD">
      <w:pPr>
        <w:spacing w:after="0" w:line="240" w:lineRule="auto"/>
        <w:jc w:val="both"/>
      </w:pPr>
    </w:p>
    <w:p w:rsidR="006800F5" w:rsidRPr="006800F5" w:rsidRDefault="00647F85" w:rsidP="00A94FB6">
      <w:pPr>
        <w:pStyle w:val="Nagwek4"/>
        <w:jc w:val="both"/>
      </w:pPr>
      <w:r w:rsidRPr="001D0EAE">
        <w:t>1.4.1.4. Systematy</w:t>
      </w:r>
      <w:r w:rsidR="00A94FB6">
        <w:t>czne podnoszenie warunków</w:t>
      </w:r>
      <w:r w:rsidRPr="001D0EAE">
        <w:t xml:space="preserve"> fun</w:t>
      </w:r>
      <w:r w:rsidR="00A94FB6">
        <w:t>kcjonowania targowisk</w:t>
      </w:r>
      <w:r w:rsidRPr="001D0EAE">
        <w:t xml:space="preserve"> przy </w:t>
      </w:r>
      <w:r w:rsidR="008D2FE6">
        <w:br/>
      </w:r>
      <w:r w:rsidRPr="001D0EAE">
        <w:t>ul. Sejneńskiej i Bakałarzewskiej.</w:t>
      </w:r>
    </w:p>
    <w:p w:rsidR="008D2FE6" w:rsidRDefault="001D0EAE" w:rsidP="001D0EAE">
      <w:pPr>
        <w:spacing w:line="240" w:lineRule="auto"/>
        <w:jc w:val="both"/>
      </w:pPr>
      <w:r>
        <w:t>Władze Miasta</w:t>
      </w:r>
      <w:r w:rsidR="006800F5">
        <w:t>, za pośrednictwem spółki Targowiska Miejskie Sp. z o.o.,</w:t>
      </w:r>
      <w:r>
        <w:t xml:space="preserve"> mając na uwadze potrzeby klientów i kupców, od </w:t>
      </w:r>
      <w:r w:rsidR="008D2FE6">
        <w:t xml:space="preserve">3 </w:t>
      </w:r>
      <w:r>
        <w:t>lat prowadzą intensywne działania inwestycyjne</w:t>
      </w:r>
      <w:r w:rsidRPr="001D0EAE">
        <w:t xml:space="preserve"> </w:t>
      </w:r>
      <w:r>
        <w:t>na terenie suwalskich targowisk zlokalizowanych przy ul. Sejneńskiej i Bakałarzewskiej.</w:t>
      </w:r>
    </w:p>
    <w:p w:rsidR="00152C09" w:rsidRDefault="008D2FE6" w:rsidP="001D0EAE">
      <w:pPr>
        <w:spacing w:line="240" w:lineRule="auto"/>
        <w:jc w:val="both"/>
      </w:pPr>
      <w:r>
        <w:t xml:space="preserve">W poprzednich latach wykonano m.in. </w:t>
      </w:r>
      <w:r w:rsidR="007F7421">
        <w:t xml:space="preserve">uporządkowanie, </w:t>
      </w:r>
      <w:r>
        <w:t>ogrodzenie</w:t>
      </w:r>
      <w:r w:rsidR="007F7421">
        <w:t xml:space="preserve"> terenu, wykonanie</w:t>
      </w:r>
      <w:r>
        <w:t xml:space="preserve"> przestrzeni parkingow</w:t>
      </w:r>
      <w:r w:rsidR="007F7421">
        <w:t>ych</w:t>
      </w:r>
      <w:r>
        <w:t xml:space="preserve"> przy ul. Sejneńskiej</w:t>
      </w:r>
      <w:r w:rsidR="007F7421">
        <w:t xml:space="preserve"> oraz</w:t>
      </w:r>
      <w:r>
        <w:t xml:space="preserve"> ogrodzenie i oświetlenie targowiska przy ul. Bakałarzewskiej</w:t>
      </w:r>
      <w:r w:rsidR="007F7421">
        <w:t>.</w:t>
      </w:r>
      <w:r w:rsidR="00152C09">
        <w:t xml:space="preserve"> </w:t>
      </w:r>
    </w:p>
    <w:p w:rsidR="00152C09" w:rsidRDefault="008D2FE6" w:rsidP="00A94FB6">
      <w:pPr>
        <w:spacing w:after="0" w:line="240" w:lineRule="auto"/>
        <w:jc w:val="both"/>
      </w:pPr>
      <w:r>
        <w:t>P</w:t>
      </w:r>
      <w:r w:rsidR="00A94FB6">
        <w:t>lanowane są następujące działania inwestycyjne:</w:t>
      </w:r>
    </w:p>
    <w:p w:rsidR="00EF0FC4" w:rsidRDefault="002E2F7D" w:rsidP="00A94FB6">
      <w:pPr>
        <w:pStyle w:val="Akapitzlist"/>
        <w:numPr>
          <w:ilvl w:val="0"/>
          <w:numId w:val="35"/>
        </w:numPr>
        <w:spacing w:after="0" w:line="240" w:lineRule="auto"/>
        <w:jc w:val="both"/>
      </w:pPr>
      <w:r w:rsidRPr="00EF0FC4">
        <w:t>Modernizacja Hali Mię</w:t>
      </w:r>
      <w:r w:rsidR="00EF0FC4" w:rsidRPr="00EF0FC4">
        <w:t>snej przy ul. Sejneńskiej – roz</w:t>
      </w:r>
      <w:r w:rsidRPr="00EF0FC4">
        <w:t>budowa istniejącej hali mięsnej</w:t>
      </w:r>
      <w:r w:rsidR="00EF0FC4" w:rsidRPr="00EF0FC4">
        <w:t xml:space="preserve"> zostanie zrealizowana w dwóch etapach. W 2014 r. nastąpi modernizacja i rozbudowa istniejącego budynku, w wyniku której na potrzeby handlowców zostanie udostępnione ok. 700 </w:t>
      </w:r>
      <w:proofErr w:type="spellStart"/>
      <w:r w:rsidR="00EF0FC4" w:rsidRPr="00EF0FC4">
        <w:t>m²</w:t>
      </w:r>
      <w:proofErr w:type="spellEnd"/>
      <w:r w:rsidR="00EF0FC4" w:rsidRPr="00EF0FC4">
        <w:t xml:space="preserve"> pow. użytkowej. W II etapie, którego realizacja jest przewidywana na rok 2015, budynek hali zostanie rozbudowany o kolejne 200 </w:t>
      </w:r>
      <w:proofErr w:type="spellStart"/>
      <w:r w:rsidR="00EF0FC4" w:rsidRPr="00EF0FC4">
        <w:t>m²</w:t>
      </w:r>
      <w:proofErr w:type="spellEnd"/>
      <w:r w:rsidR="00EF0FC4" w:rsidRPr="00EF0FC4">
        <w:t xml:space="preserve"> powierzchni użytkowej; </w:t>
      </w:r>
    </w:p>
    <w:p w:rsidR="002A408E" w:rsidRDefault="00EF0FC4" w:rsidP="002A408E">
      <w:pPr>
        <w:pStyle w:val="Akapitzlist"/>
        <w:numPr>
          <w:ilvl w:val="0"/>
          <w:numId w:val="35"/>
        </w:numPr>
        <w:spacing w:after="0" w:line="240" w:lineRule="auto"/>
        <w:jc w:val="both"/>
      </w:pPr>
      <w:r>
        <w:t xml:space="preserve">Modernizacja Hali Targowej – po ukończeniu prac związanych z rozbudową hali mięsnej, przewiduje się modernizację hali targowej, do której będzie przeniesiony handel produktami </w:t>
      </w:r>
      <w:proofErr w:type="spellStart"/>
      <w:r>
        <w:t>pozaspożywczymi</w:t>
      </w:r>
      <w:proofErr w:type="spellEnd"/>
      <w:r w:rsidR="002A408E">
        <w:t>;</w:t>
      </w:r>
    </w:p>
    <w:p w:rsidR="006800F5" w:rsidRPr="002A408E" w:rsidRDefault="00A94FB6" w:rsidP="002A408E">
      <w:pPr>
        <w:pStyle w:val="Akapitzlist"/>
        <w:numPr>
          <w:ilvl w:val="0"/>
          <w:numId w:val="35"/>
        </w:numPr>
        <w:spacing w:after="0" w:line="240" w:lineRule="auto"/>
        <w:jc w:val="both"/>
      </w:pPr>
      <w:r w:rsidRPr="002A408E">
        <w:t>Utwardzenie nawierzchni placu targowego na targowisku przy ul. Bakałarzewskiej – dokończenie działań inwestycyjnych rozpoczętych w 2013 r.</w:t>
      </w:r>
      <w:r w:rsidR="009507DA" w:rsidRPr="002A408E">
        <w:t xml:space="preserve"> dotyczących utwardzenia terenu całego targowiska</w:t>
      </w:r>
      <w:r w:rsidR="002A408E">
        <w:t xml:space="preserve"> i sukcesywne wyłożenie terenu kostką brukową.</w:t>
      </w:r>
    </w:p>
    <w:p w:rsidR="00A94FB6" w:rsidRDefault="00A94FB6" w:rsidP="00A94FB6">
      <w:pPr>
        <w:pStyle w:val="Akapitzlist"/>
        <w:spacing w:after="0" w:line="240" w:lineRule="auto"/>
        <w:jc w:val="both"/>
      </w:pPr>
    </w:p>
    <w:p w:rsidR="007F7421" w:rsidRPr="007F7421" w:rsidRDefault="00A94FB6" w:rsidP="00727181">
      <w:pPr>
        <w:spacing w:line="240" w:lineRule="auto"/>
        <w:jc w:val="both"/>
      </w:pPr>
      <w:r>
        <w:t>Jednocześnie, w</w:t>
      </w:r>
      <w:r w:rsidR="003834BC">
        <w:t xml:space="preserve"> związku z poczynionymi i planowanymi inwestycjami związanymi z modernizacją targowiska</w:t>
      </w:r>
      <w:r w:rsidR="00A60861">
        <w:t xml:space="preserve"> przy ul. Se</w:t>
      </w:r>
      <w:r w:rsidR="006800F5">
        <w:t>jneńskiej</w:t>
      </w:r>
      <w:r w:rsidR="003834BC">
        <w:t>, realizowanymi przez spółkę</w:t>
      </w:r>
      <w:r w:rsidR="0011117D">
        <w:t xml:space="preserve"> Targowiska Miejskie Sp. z o.o.</w:t>
      </w:r>
      <w:r w:rsidR="003834BC">
        <w:t xml:space="preserve"> oraz w celu zapewnienia stabilizacji handlowcom prowadzącym działalność gospodarczą na terenie targowiska miejskiego, </w:t>
      </w:r>
      <w:r w:rsidR="00727181" w:rsidRPr="00727181">
        <w:rPr>
          <w:b/>
        </w:rPr>
        <w:t xml:space="preserve">wydzierżawiono </w:t>
      </w:r>
      <w:r w:rsidR="007F7421">
        <w:rPr>
          <w:b/>
        </w:rPr>
        <w:t xml:space="preserve">spółce </w:t>
      </w:r>
      <w:r w:rsidR="00727181" w:rsidRPr="00727181">
        <w:rPr>
          <w:b/>
        </w:rPr>
        <w:t>teren targowiska przy ul. Sejneńskiej na 10 lat.</w:t>
      </w:r>
      <w:r w:rsidR="007F7421">
        <w:rPr>
          <w:b/>
        </w:rPr>
        <w:t xml:space="preserve"> </w:t>
      </w:r>
      <w:r w:rsidR="007F7421">
        <w:t xml:space="preserve">Dzięki temu spółka ma obecnie możliwość zawierania z handlowcami umów dzierżawy i najmu z terminem do </w:t>
      </w:r>
      <w:r w:rsidR="00B179F2">
        <w:t>dnia 31.12.2023 r.</w:t>
      </w:r>
      <w:r w:rsidR="007F7421">
        <w:t xml:space="preserve"> co daje handlowcom poczucie bezpieczeństwa i stabilizacji oraz otwiera drogę do podejmowania przez nich działań inwestycyjnych podnoszących estetykę targowiska. </w:t>
      </w:r>
    </w:p>
    <w:p w:rsidR="00634864" w:rsidRPr="00634864" w:rsidRDefault="00634864" w:rsidP="00727181">
      <w:pPr>
        <w:spacing w:line="240" w:lineRule="auto"/>
        <w:jc w:val="both"/>
        <w:rPr>
          <w:b/>
          <w:sz w:val="20"/>
          <w:szCs w:val="20"/>
        </w:rPr>
      </w:pPr>
      <w:r w:rsidRPr="00634864">
        <w:rPr>
          <w:b/>
          <w:sz w:val="20"/>
          <w:szCs w:val="20"/>
        </w:rPr>
        <w:t>Tabela działań w ramach</w:t>
      </w:r>
      <w:r w:rsidRPr="00634864">
        <w:rPr>
          <w:sz w:val="20"/>
          <w:szCs w:val="20"/>
        </w:rPr>
        <w:t xml:space="preserve"> </w:t>
      </w:r>
      <w:r w:rsidRPr="00634864">
        <w:rPr>
          <w:b/>
          <w:sz w:val="20"/>
          <w:szCs w:val="20"/>
        </w:rPr>
        <w:t>celu operacyjnego 1.4 „Wzrost przedsiębiorczości”</w:t>
      </w:r>
    </w:p>
    <w:tbl>
      <w:tblPr>
        <w:tblStyle w:val="Tabela-Siatka"/>
        <w:tblW w:w="0" w:type="auto"/>
        <w:tblLook w:val="04A0"/>
      </w:tblPr>
      <w:tblGrid>
        <w:gridCol w:w="2045"/>
        <w:gridCol w:w="2258"/>
        <w:gridCol w:w="1812"/>
        <w:gridCol w:w="1418"/>
        <w:gridCol w:w="1755"/>
      </w:tblGrid>
      <w:tr w:rsidR="00727181" w:rsidRPr="002B47D5" w:rsidTr="00AD6802">
        <w:tc>
          <w:tcPr>
            <w:tcW w:w="2045" w:type="dxa"/>
            <w:shd w:val="clear" w:color="auto" w:fill="4F81BD" w:themeFill="accent1"/>
          </w:tcPr>
          <w:p w:rsidR="00727181" w:rsidRPr="002B47D5" w:rsidRDefault="00727181" w:rsidP="00AD6802">
            <w:pPr>
              <w:rPr>
                <w:color w:val="FFFFFF" w:themeColor="background1"/>
                <w:sz w:val="18"/>
                <w:szCs w:val="18"/>
              </w:rPr>
            </w:pPr>
            <w:r>
              <w:rPr>
                <w:color w:val="FFFFFF" w:themeColor="background1"/>
                <w:sz w:val="18"/>
                <w:szCs w:val="18"/>
              </w:rPr>
              <w:t>Działanie</w:t>
            </w:r>
          </w:p>
        </w:tc>
        <w:tc>
          <w:tcPr>
            <w:tcW w:w="2258" w:type="dxa"/>
            <w:shd w:val="clear" w:color="auto" w:fill="4F81BD" w:themeFill="accent1"/>
          </w:tcPr>
          <w:p w:rsidR="00727181" w:rsidRPr="002B47D5" w:rsidRDefault="00727181" w:rsidP="00AD6802">
            <w:pPr>
              <w:rPr>
                <w:color w:val="FFFFFF" w:themeColor="background1"/>
                <w:sz w:val="18"/>
                <w:szCs w:val="18"/>
              </w:rPr>
            </w:pPr>
            <w:r>
              <w:rPr>
                <w:color w:val="FFFFFF" w:themeColor="background1"/>
                <w:sz w:val="18"/>
                <w:szCs w:val="18"/>
              </w:rPr>
              <w:t>Podmioty odpowiedzialne</w:t>
            </w:r>
          </w:p>
        </w:tc>
        <w:tc>
          <w:tcPr>
            <w:tcW w:w="1812" w:type="dxa"/>
            <w:shd w:val="clear" w:color="auto" w:fill="4F81BD" w:themeFill="accent1"/>
          </w:tcPr>
          <w:p w:rsidR="00727181" w:rsidRPr="002B47D5" w:rsidRDefault="00727181" w:rsidP="00AD6802">
            <w:pPr>
              <w:rPr>
                <w:color w:val="FFFFFF" w:themeColor="background1"/>
                <w:sz w:val="18"/>
                <w:szCs w:val="18"/>
              </w:rPr>
            </w:pPr>
            <w:r>
              <w:rPr>
                <w:color w:val="FFFFFF" w:themeColor="background1"/>
                <w:sz w:val="18"/>
                <w:szCs w:val="18"/>
              </w:rPr>
              <w:t>Grupy docelowe</w:t>
            </w:r>
          </w:p>
        </w:tc>
        <w:tc>
          <w:tcPr>
            <w:tcW w:w="1418" w:type="dxa"/>
            <w:shd w:val="clear" w:color="auto" w:fill="4F81BD" w:themeFill="accent1"/>
          </w:tcPr>
          <w:p w:rsidR="00727181" w:rsidRDefault="00727181" w:rsidP="00AD6802">
            <w:pPr>
              <w:rPr>
                <w:color w:val="FFFFFF" w:themeColor="background1"/>
                <w:sz w:val="18"/>
                <w:szCs w:val="18"/>
              </w:rPr>
            </w:pPr>
            <w:r>
              <w:rPr>
                <w:color w:val="FFFFFF" w:themeColor="background1"/>
                <w:sz w:val="18"/>
                <w:szCs w:val="18"/>
              </w:rPr>
              <w:t>Koszt</w:t>
            </w:r>
          </w:p>
        </w:tc>
        <w:tc>
          <w:tcPr>
            <w:tcW w:w="1755" w:type="dxa"/>
            <w:shd w:val="clear" w:color="auto" w:fill="4F81BD" w:themeFill="accent1"/>
          </w:tcPr>
          <w:p w:rsidR="00727181" w:rsidRPr="002B47D5" w:rsidRDefault="00727181" w:rsidP="00AD6802">
            <w:pPr>
              <w:rPr>
                <w:color w:val="FFFFFF" w:themeColor="background1"/>
                <w:sz w:val="18"/>
                <w:szCs w:val="18"/>
              </w:rPr>
            </w:pPr>
            <w:r>
              <w:rPr>
                <w:color w:val="FFFFFF" w:themeColor="background1"/>
                <w:sz w:val="18"/>
                <w:szCs w:val="18"/>
              </w:rPr>
              <w:t>Źródła finansowania</w:t>
            </w:r>
          </w:p>
        </w:tc>
      </w:tr>
      <w:tr w:rsidR="00727181" w:rsidRPr="002B47D5" w:rsidTr="00AD6802">
        <w:tc>
          <w:tcPr>
            <w:tcW w:w="2045" w:type="dxa"/>
          </w:tcPr>
          <w:p w:rsidR="00727181" w:rsidRPr="005152A0" w:rsidRDefault="00727181" w:rsidP="00717FD1">
            <w:pPr>
              <w:jc w:val="both"/>
              <w:rPr>
                <w:sz w:val="18"/>
                <w:szCs w:val="18"/>
              </w:rPr>
            </w:pPr>
            <w:r>
              <w:rPr>
                <w:sz w:val="18"/>
                <w:szCs w:val="18"/>
              </w:rPr>
              <w:t>Kontynuacja wsparcia przedsię</w:t>
            </w:r>
            <w:r w:rsidR="006800F5">
              <w:rPr>
                <w:sz w:val="18"/>
                <w:szCs w:val="18"/>
              </w:rPr>
              <w:t xml:space="preserve">biorców w ramach pomocy de </w:t>
            </w:r>
            <w:proofErr w:type="spellStart"/>
            <w:r w:rsidR="006800F5">
              <w:rPr>
                <w:sz w:val="18"/>
                <w:szCs w:val="18"/>
              </w:rPr>
              <w:t>mini</w:t>
            </w:r>
            <w:r>
              <w:rPr>
                <w:sz w:val="18"/>
                <w:szCs w:val="18"/>
              </w:rPr>
              <w:t>mis</w:t>
            </w:r>
            <w:proofErr w:type="spellEnd"/>
          </w:p>
        </w:tc>
        <w:tc>
          <w:tcPr>
            <w:tcW w:w="2258" w:type="dxa"/>
          </w:tcPr>
          <w:p w:rsidR="00727181" w:rsidRPr="002B47D5" w:rsidRDefault="00727181" w:rsidP="00AD6802">
            <w:pPr>
              <w:jc w:val="both"/>
              <w:rPr>
                <w:sz w:val="18"/>
                <w:szCs w:val="18"/>
              </w:rPr>
            </w:pPr>
            <w:r>
              <w:rPr>
                <w:sz w:val="18"/>
                <w:szCs w:val="18"/>
              </w:rPr>
              <w:t>Miasto Suwałki, FN, RFZ</w:t>
            </w:r>
          </w:p>
        </w:tc>
        <w:tc>
          <w:tcPr>
            <w:tcW w:w="1812" w:type="dxa"/>
          </w:tcPr>
          <w:p w:rsidR="00727181" w:rsidRPr="002B47D5" w:rsidRDefault="00727181" w:rsidP="00AD6802">
            <w:pPr>
              <w:jc w:val="both"/>
              <w:rPr>
                <w:sz w:val="18"/>
                <w:szCs w:val="18"/>
              </w:rPr>
            </w:pPr>
            <w:r>
              <w:rPr>
                <w:sz w:val="18"/>
                <w:szCs w:val="18"/>
              </w:rPr>
              <w:t>Przedsiębiorcy</w:t>
            </w:r>
          </w:p>
        </w:tc>
        <w:tc>
          <w:tcPr>
            <w:tcW w:w="1418" w:type="dxa"/>
          </w:tcPr>
          <w:p w:rsidR="00727181" w:rsidRPr="002B47D5" w:rsidRDefault="006800F5" w:rsidP="00AD6802">
            <w:pPr>
              <w:jc w:val="both"/>
              <w:rPr>
                <w:sz w:val="18"/>
                <w:szCs w:val="18"/>
              </w:rPr>
            </w:pPr>
            <w:r>
              <w:rPr>
                <w:sz w:val="18"/>
                <w:szCs w:val="18"/>
              </w:rPr>
              <w:t xml:space="preserve">ok. </w:t>
            </w:r>
            <w:r w:rsidR="00727181">
              <w:rPr>
                <w:sz w:val="18"/>
                <w:szCs w:val="18"/>
              </w:rPr>
              <w:t>500.000 zł./rok</w:t>
            </w:r>
          </w:p>
        </w:tc>
        <w:tc>
          <w:tcPr>
            <w:tcW w:w="1755" w:type="dxa"/>
          </w:tcPr>
          <w:p w:rsidR="00727181" w:rsidRPr="002B47D5" w:rsidRDefault="00727181" w:rsidP="00AD6802">
            <w:pPr>
              <w:jc w:val="left"/>
              <w:rPr>
                <w:sz w:val="18"/>
                <w:szCs w:val="18"/>
              </w:rPr>
            </w:pPr>
            <w:r>
              <w:rPr>
                <w:sz w:val="18"/>
                <w:szCs w:val="18"/>
              </w:rPr>
              <w:t>Środki własne</w:t>
            </w:r>
          </w:p>
        </w:tc>
      </w:tr>
      <w:tr w:rsidR="00727181" w:rsidRPr="002B47D5" w:rsidTr="00AD6802">
        <w:tc>
          <w:tcPr>
            <w:tcW w:w="2045" w:type="dxa"/>
          </w:tcPr>
          <w:p w:rsidR="00727181" w:rsidRPr="005152A0" w:rsidRDefault="00727181" w:rsidP="00AD6802">
            <w:pPr>
              <w:jc w:val="both"/>
              <w:rPr>
                <w:sz w:val="18"/>
                <w:szCs w:val="18"/>
              </w:rPr>
            </w:pPr>
            <w:r>
              <w:rPr>
                <w:sz w:val="18"/>
                <w:szCs w:val="18"/>
              </w:rPr>
              <w:t>Preferencyjne stawki czynszowe dla branży gastronomicznej wokół Placu MK</w:t>
            </w:r>
          </w:p>
        </w:tc>
        <w:tc>
          <w:tcPr>
            <w:tcW w:w="2258" w:type="dxa"/>
          </w:tcPr>
          <w:p w:rsidR="00727181" w:rsidRPr="002B47D5" w:rsidRDefault="00727181" w:rsidP="00AD6802">
            <w:pPr>
              <w:jc w:val="both"/>
              <w:rPr>
                <w:sz w:val="18"/>
                <w:szCs w:val="18"/>
              </w:rPr>
            </w:pPr>
            <w:r>
              <w:rPr>
                <w:sz w:val="18"/>
                <w:szCs w:val="18"/>
              </w:rPr>
              <w:t>Miasto Suwałki, ZBM</w:t>
            </w:r>
          </w:p>
        </w:tc>
        <w:tc>
          <w:tcPr>
            <w:tcW w:w="1812" w:type="dxa"/>
          </w:tcPr>
          <w:p w:rsidR="00727181" w:rsidRPr="002B47D5" w:rsidRDefault="00727181" w:rsidP="00AD6802">
            <w:pPr>
              <w:jc w:val="both"/>
              <w:rPr>
                <w:sz w:val="18"/>
                <w:szCs w:val="18"/>
              </w:rPr>
            </w:pPr>
            <w:r>
              <w:rPr>
                <w:sz w:val="18"/>
                <w:szCs w:val="18"/>
              </w:rPr>
              <w:t>Przedsiębiorcy</w:t>
            </w:r>
          </w:p>
        </w:tc>
        <w:tc>
          <w:tcPr>
            <w:tcW w:w="1418" w:type="dxa"/>
          </w:tcPr>
          <w:p w:rsidR="00727181" w:rsidRDefault="00727181" w:rsidP="00727181">
            <w:pPr>
              <w:jc w:val="left"/>
            </w:pPr>
            <w:proofErr w:type="spellStart"/>
            <w:r w:rsidRPr="00095E0E">
              <w:rPr>
                <w:sz w:val="18"/>
                <w:szCs w:val="18"/>
              </w:rPr>
              <w:t>b.d</w:t>
            </w:r>
            <w:proofErr w:type="spellEnd"/>
            <w:r w:rsidRPr="00095E0E">
              <w:rPr>
                <w:sz w:val="18"/>
                <w:szCs w:val="18"/>
              </w:rPr>
              <w:t>.</w:t>
            </w:r>
          </w:p>
        </w:tc>
        <w:tc>
          <w:tcPr>
            <w:tcW w:w="1755" w:type="dxa"/>
          </w:tcPr>
          <w:p w:rsidR="00727181" w:rsidRDefault="00727181" w:rsidP="00AD6802">
            <w:pPr>
              <w:jc w:val="left"/>
            </w:pPr>
            <w:r>
              <w:rPr>
                <w:sz w:val="18"/>
                <w:szCs w:val="18"/>
              </w:rPr>
              <w:t>Środki własne</w:t>
            </w:r>
          </w:p>
        </w:tc>
      </w:tr>
      <w:tr w:rsidR="00727181" w:rsidRPr="002B47D5" w:rsidTr="00AD6802">
        <w:tc>
          <w:tcPr>
            <w:tcW w:w="2045" w:type="dxa"/>
          </w:tcPr>
          <w:p w:rsidR="00727181" w:rsidRDefault="00727181" w:rsidP="00AD6802">
            <w:pPr>
              <w:jc w:val="both"/>
              <w:rPr>
                <w:sz w:val="18"/>
                <w:szCs w:val="18"/>
              </w:rPr>
            </w:pPr>
            <w:r>
              <w:rPr>
                <w:sz w:val="18"/>
                <w:szCs w:val="18"/>
              </w:rPr>
              <w:t>Preferencyjne stawki opłat</w:t>
            </w:r>
            <w:r w:rsidRPr="00F078DA">
              <w:rPr>
                <w:sz w:val="18"/>
                <w:szCs w:val="18"/>
              </w:rPr>
              <w:t xml:space="preserve"> za zajęcie pasa drogowego</w:t>
            </w:r>
          </w:p>
        </w:tc>
        <w:tc>
          <w:tcPr>
            <w:tcW w:w="2258" w:type="dxa"/>
          </w:tcPr>
          <w:p w:rsidR="00727181" w:rsidRDefault="00727181" w:rsidP="00AD6802">
            <w:pPr>
              <w:jc w:val="both"/>
              <w:rPr>
                <w:sz w:val="18"/>
                <w:szCs w:val="18"/>
              </w:rPr>
            </w:pPr>
            <w:r>
              <w:rPr>
                <w:sz w:val="18"/>
                <w:szCs w:val="18"/>
              </w:rPr>
              <w:t>Miasto Suwałki, ZDiZ</w:t>
            </w:r>
          </w:p>
        </w:tc>
        <w:tc>
          <w:tcPr>
            <w:tcW w:w="1812" w:type="dxa"/>
          </w:tcPr>
          <w:p w:rsidR="00727181" w:rsidRDefault="00727181" w:rsidP="00AD6802">
            <w:pPr>
              <w:jc w:val="both"/>
              <w:rPr>
                <w:sz w:val="18"/>
                <w:szCs w:val="18"/>
              </w:rPr>
            </w:pPr>
            <w:r>
              <w:rPr>
                <w:sz w:val="18"/>
                <w:szCs w:val="18"/>
              </w:rPr>
              <w:t>Przedsiębiorcy</w:t>
            </w:r>
          </w:p>
        </w:tc>
        <w:tc>
          <w:tcPr>
            <w:tcW w:w="1418" w:type="dxa"/>
          </w:tcPr>
          <w:p w:rsidR="00727181" w:rsidRDefault="00B179F2" w:rsidP="00727181">
            <w:pPr>
              <w:jc w:val="left"/>
            </w:pPr>
            <w:r>
              <w:rPr>
                <w:sz w:val="18"/>
                <w:szCs w:val="18"/>
              </w:rPr>
              <w:t>-</w:t>
            </w:r>
          </w:p>
        </w:tc>
        <w:tc>
          <w:tcPr>
            <w:tcW w:w="1755" w:type="dxa"/>
          </w:tcPr>
          <w:p w:rsidR="00727181" w:rsidRDefault="00727181" w:rsidP="00AD6802">
            <w:pPr>
              <w:jc w:val="left"/>
              <w:rPr>
                <w:sz w:val="18"/>
                <w:szCs w:val="18"/>
              </w:rPr>
            </w:pPr>
            <w:r>
              <w:rPr>
                <w:sz w:val="18"/>
                <w:szCs w:val="18"/>
              </w:rPr>
              <w:t>Środki własne</w:t>
            </w:r>
          </w:p>
        </w:tc>
      </w:tr>
      <w:tr w:rsidR="00727181" w:rsidRPr="002B47D5" w:rsidTr="00AD6802">
        <w:tc>
          <w:tcPr>
            <w:tcW w:w="2045" w:type="dxa"/>
          </w:tcPr>
          <w:p w:rsidR="00727181" w:rsidRDefault="00727181" w:rsidP="00AD6802">
            <w:pPr>
              <w:jc w:val="both"/>
              <w:rPr>
                <w:sz w:val="18"/>
                <w:szCs w:val="18"/>
              </w:rPr>
            </w:pPr>
            <w:r>
              <w:rPr>
                <w:sz w:val="18"/>
                <w:szCs w:val="18"/>
              </w:rPr>
              <w:t>Obniżki czynszów dla najemców powierzchni przy remontowanych przestrzeniach miejskich.</w:t>
            </w:r>
          </w:p>
        </w:tc>
        <w:tc>
          <w:tcPr>
            <w:tcW w:w="2258" w:type="dxa"/>
          </w:tcPr>
          <w:p w:rsidR="00727181" w:rsidRPr="002B47D5" w:rsidRDefault="00727181" w:rsidP="00AD6802">
            <w:pPr>
              <w:jc w:val="both"/>
              <w:rPr>
                <w:sz w:val="18"/>
                <w:szCs w:val="18"/>
              </w:rPr>
            </w:pPr>
            <w:r>
              <w:rPr>
                <w:sz w:val="18"/>
                <w:szCs w:val="18"/>
              </w:rPr>
              <w:t>Miasto Suwałki, ZBM</w:t>
            </w:r>
          </w:p>
        </w:tc>
        <w:tc>
          <w:tcPr>
            <w:tcW w:w="1812" w:type="dxa"/>
          </w:tcPr>
          <w:p w:rsidR="00727181" w:rsidRPr="002B47D5" w:rsidRDefault="00727181" w:rsidP="00AD6802">
            <w:pPr>
              <w:jc w:val="both"/>
              <w:rPr>
                <w:sz w:val="18"/>
                <w:szCs w:val="18"/>
              </w:rPr>
            </w:pPr>
            <w:r>
              <w:rPr>
                <w:sz w:val="18"/>
                <w:szCs w:val="18"/>
              </w:rPr>
              <w:t>Przedsiębiorcy</w:t>
            </w:r>
          </w:p>
        </w:tc>
        <w:tc>
          <w:tcPr>
            <w:tcW w:w="1418" w:type="dxa"/>
          </w:tcPr>
          <w:p w:rsidR="00727181" w:rsidRDefault="006800F5" w:rsidP="00727181">
            <w:pPr>
              <w:jc w:val="left"/>
            </w:pPr>
            <w:r>
              <w:rPr>
                <w:sz w:val="18"/>
                <w:szCs w:val="18"/>
              </w:rPr>
              <w:t>w zależności od prowadzonych prac remontowych</w:t>
            </w:r>
          </w:p>
        </w:tc>
        <w:tc>
          <w:tcPr>
            <w:tcW w:w="1755" w:type="dxa"/>
          </w:tcPr>
          <w:p w:rsidR="00727181" w:rsidRDefault="00727181" w:rsidP="00AD6802">
            <w:pPr>
              <w:jc w:val="left"/>
            </w:pPr>
            <w:r>
              <w:rPr>
                <w:sz w:val="18"/>
                <w:szCs w:val="18"/>
              </w:rPr>
              <w:t>Środki własne</w:t>
            </w:r>
          </w:p>
        </w:tc>
      </w:tr>
      <w:tr w:rsidR="00727181" w:rsidRPr="002B47D5" w:rsidTr="00AD6802">
        <w:tc>
          <w:tcPr>
            <w:tcW w:w="2045" w:type="dxa"/>
          </w:tcPr>
          <w:p w:rsidR="00727181" w:rsidRDefault="00A94FB6" w:rsidP="00A94FB6">
            <w:pPr>
              <w:jc w:val="both"/>
              <w:rPr>
                <w:sz w:val="18"/>
                <w:szCs w:val="18"/>
              </w:rPr>
            </w:pPr>
            <w:r>
              <w:rPr>
                <w:sz w:val="18"/>
                <w:szCs w:val="18"/>
              </w:rPr>
              <w:t>Podnoszenie warunków</w:t>
            </w:r>
            <w:r w:rsidR="00727181">
              <w:rPr>
                <w:sz w:val="18"/>
                <w:szCs w:val="18"/>
              </w:rPr>
              <w:t xml:space="preserve"> funkcjonowania </w:t>
            </w:r>
            <w:r>
              <w:rPr>
                <w:sz w:val="18"/>
                <w:szCs w:val="18"/>
              </w:rPr>
              <w:t xml:space="preserve">targowisk </w:t>
            </w:r>
            <w:r w:rsidR="00727181">
              <w:rPr>
                <w:sz w:val="18"/>
                <w:szCs w:val="18"/>
              </w:rPr>
              <w:t>przy ul. Sejneńskiej i Bakałarzewskiej</w:t>
            </w:r>
          </w:p>
        </w:tc>
        <w:tc>
          <w:tcPr>
            <w:tcW w:w="2258" w:type="dxa"/>
          </w:tcPr>
          <w:p w:rsidR="00727181" w:rsidRDefault="00727181" w:rsidP="00AD6802">
            <w:pPr>
              <w:jc w:val="both"/>
              <w:rPr>
                <w:sz w:val="18"/>
                <w:szCs w:val="18"/>
              </w:rPr>
            </w:pPr>
            <w:r>
              <w:rPr>
                <w:sz w:val="18"/>
                <w:szCs w:val="18"/>
              </w:rPr>
              <w:t>Miasto Suwałki, Targowiska Miejskie Sp. z o.o.</w:t>
            </w:r>
          </w:p>
        </w:tc>
        <w:tc>
          <w:tcPr>
            <w:tcW w:w="1812" w:type="dxa"/>
          </w:tcPr>
          <w:p w:rsidR="00727181" w:rsidRPr="002B47D5" w:rsidRDefault="00727181" w:rsidP="00AD6802">
            <w:pPr>
              <w:jc w:val="both"/>
              <w:rPr>
                <w:sz w:val="18"/>
                <w:szCs w:val="18"/>
              </w:rPr>
            </w:pPr>
            <w:r>
              <w:rPr>
                <w:sz w:val="18"/>
                <w:szCs w:val="18"/>
              </w:rPr>
              <w:t>Przedsiębiorcy</w:t>
            </w:r>
            <w:r w:rsidR="0011117D">
              <w:rPr>
                <w:sz w:val="18"/>
                <w:szCs w:val="18"/>
              </w:rPr>
              <w:t>, mieszkańcy Suwałk</w:t>
            </w:r>
          </w:p>
        </w:tc>
        <w:tc>
          <w:tcPr>
            <w:tcW w:w="1418" w:type="dxa"/>
          </w:tcPr>
          <w:p w:rsidR="00727181" w:rsidRDefault="00AF14A5" w:rsidP="00727181">
            <w:pPr>
              <w:jc w:val="left"/>
              <w:rPr>
                <w:sz w:val="18"/>
                <w:szCs w:val="18"/>
              </w:rPr>
            </w:pPr>
            <w:r>
              <w:rPr>
                <w:sz w:val="18"/>
                <w:szCs w:val="18"/>
              </w:rPr>
              <w:t>Hala Mięsna I etap (2.163.000 zł netto);</w:t>
            </w:r>
          </w:p>
          <w:p w:rsidR="00AF14A5" w:rsidRDefault="00AF14A5" w:rsidP="00727181">
            <w:pPr>
              <w:jc w:val="left"/>
              <w:rPr>
                <w:sz w:val="18"/>
                <w:szCs w:val="18"/>
              </w:rPr>
            </w:pPr>
          </w:p>
          <w:p w:rsidR="00AF14A5" w:rsidRPr="0011117D" w:rsidRDefault="00AF14A5" w:rsidP="00727181">
            <w:pPr>
              <w:jc w:val="left"/>
              <w:rPr>
                <w:sz w:val="18"/>
                <w:szCs w:val="18"/>
              </w:rPr>
            </w:pPr>
            <w:r>
              <w:rPr>
                <w:sz w:val="18"/>
                <w:szCs w:val="18"/>
              </w:rPr>
              <w:t>Hala Mięsna II etap (981.000 zł netto)</w:t>
            </w:r>
          </w:p>
        </w:tc>
        <w:tc>
          <w:tcPr>
            <w:tcW w:w="1755" w:type="dxa"/>
          </w:tcPr>
          <w:p w:rsidR="00727181" w:rsidRDefault="00727181" w:rsidP="00AD6802">
            <w:pPr>
              <w:jc w:val="left"/>
            </w:pPr>
            <w:r>
              <w:rPr>
                <w:sz w:val="18"/>
                <w:szCs w:val="18"/>
              </w:rPr>
              <w:t>Środki własne</w:t>
            </w:r>
          </w:p>
        </w:tc>
      </w:tr>
    </w:tbl>
    <w:p w:rsidR="00727181" w:rsidRDefault="00727181" w:rsidP="00727181">
      <w:pPr>
        <w:spacing w:line="240" w:lineRule="auto"/>
        <w:jc w:val="both"/>
      </w:pPr>
    </w:p>
    <w:p w:rsidR="00FC3E45" w:rsidRDefault="00FC3E45" w:rsidP="00FC3E45">
      <w:pPr>
        <w:pStyle w:val="Nagwek3"/>
      </w:pPr>
      <w:bookmarkStart w:id="44" w:name="_Toc390759495"/>
      <w:r>
        <w:t>1.4.2. Park NT centrum usług dla biznesu</w:t>
      </w:r>
      <w:bookmarkEnd w:id="44"/>
    </w:p>
    <w:p w:rsidR="00FC3E45" w:rsidRDefault="00FC3E45" w:rsidP="00F078DA">
      <w:pPr>
        <w:pStyle w:val="Akapitzlist"/>
        <w:autoSpaceDE w:val="0"/>
        <w:autoSpaceDN w:val="0"/>
        <w:adjustRightInd w:val="0"/>
        <w:spacing w:after="0" w:line="240" w:lineRule="auto"/>
        <w:ind w:left="0"/>
        <w:jc w:val="both"/>
      </w:pPr>
    </w:p>
    <w:p w:rsidR="00F078DA" w:rsidRPr="00F6474A" w:rsidRDefault="00F078DA" w:rsidP="00F078DA">
      <w:pPr>
        <w:pStyle w:val="Akapitzlist"/>
        <w:autoSpaceDE w:val="0"/>
        <w:autoSpaceDN w:val="0"/>
        <w:adjustRightInd w:val="0"/>
        <w:spacing w:after="0" w:line="240" w:lineRule="auto"/>
        <w:ind w:left="0"/>
        <w:jc w:val="both"/>
        <w:rPr>
          <w:rFonts w:ascii="Calibri" w:hAnsi="Calibri" w:cs="Calibri"/>
        </w:rPr>
      </w:pPr>
      <w:r>
        <w:t xml:space="preserve">Jednym z instrumentów realizacji polityki władz Miasta zmierzającej w kierunku wzrostu przedsiębiorczości jest </w:t>
      </w:r>
      <w:r w:rsidRPr="00AB5E37">
        <w:rPr>
          <w:b/>
        </w:rPr>
        <w:t xml:space="preserve">infrastruktura i zaplecze </w:t>
      </w:r>
      <w:r w:rsidRPr="00AB5E37">
        <w:rPr>
          <w:b/>
          <w:lang w:eastAsia="pl-PL"/>
        </w:rPr>
        <w:t>Parku NT</w:t>
      </w:r>
      <w:r>
        <w:rPr>
          <w:lang w:eastAsia="pl-PL"/>
        </w:rPr>
        <w:t>.</w:t>
      </w:r>
    </w:p>
    <w:p w:rsidR="00F078DA" w:rsidRPr="006C7903" w:rsidRDefault="00F078DA" w:rsidP="00F078DA">
      <w:pPr>
        <w:autoSpaceDE w:val="0"/>
        <w:autoSpaceDN w:val="0"/>
        <w:adjustRightInd w:val="0"/>
        <w:spacing w:after="0" w:line="240" w:lineRule="auto"/>
        <w:jc w:val="both"/>
        <w:rPr>
          <w:rFonts w:ascii="Calibri" w:hAnsi="Calibri" w:cs="Calibri"/>
        </w:rPr>
      </w:pPr>
    </w:p>
    <w:p w:rsidR="00F078DA" w:rsidRDefault="00F078DA" w:rsidP="00F078DA">
      <w:pPr>
        <w:pStyle w:val="Akapitzlist"/>
        <w:autoSpaceDE w:val="0"/>
        <w:autoSpaceDN w:val="0"/>
        <w:adjustRightInd w:val="0"/>
        <w:spacing w:after="0" w:line="240" w:lineRule="auto"/>
        <w:ind w:left="0"/>
        <w:jc w:val="both"/>
        <w:rPr>
          <w:lang w:eastAsia="pl-PL"/>
        </w:rPr>
      </w:pPr>
      <w:r w:rsidRPr="006C7903">
        <w:rPr>
          <w:rFonts w:ascii="Calibri" w:hAnsi="Calibri" w:cs="Calibri"/>
        </w:rPr>
        <w:t>W ramach projektu „Budowa i uruchamianie nowych obiektów Parku Naukowo-Technologicznego Polska-Wschód w Suwałkach”, współfinansowanego ze środków Unii Europejskiej w ramach Programu Operacyjnego Rozwój Polski Wschodniej 2007-2013 (całkowita s</w:t>
      </w:r>
      <w:r w:rsidR="00FE59AD">
        <w:rPr>
          <w:rFonts w:ascii="Calibri" w:hAnsi="Calibri" w:cs="Calibri"/>
        </w:rPr>
        <w:t>zacunkowa wartość projektu – 66.733.</w:t>
      </w:r>
      <w:r w:rsidRPr="006C7903">
        <w:rPr>
          <w:rFonts w:ascii="Calibri" w:hAnsi="Calibri" w:cs="Calibri"/>
        </w:rPr>
        <w:t xml:space="preserve">999,99 </w:t>
      </w:r>
      <w:r w:rsidR="00FE59AD">
        <w:rPr>
          <w:rFonts w:ascii="Calibri" w:hAnsi="Calibri" w:cs="Calibri"/>
        </w:rPr>
        <w:t>zł, wartość dofinansowania: 49.230.000,00 zł</w:t>
      </w:r>
      <w:r w:rsidRPr="006C7903">
        <w:rPr>
          <w:rFonts w:ascii="Calibri" w:hAnsi="Calibri" w:cs="Calibri"/>
        </w:rPr>
        <w:t xml:space="preserve">, co stanowi 90% całkowitych kosztów </w:t>
      </w:r>
      <w:proofErr w:type="spellStart"/>
      <w:r w:rsidRPr="006C7903">
        <w:rPr>
          <w:rFonts w:ascii="Calibri" w:hAnsi="Calibri" w:cs="Calibri"/>
        </w:rPr>
        <w:t>kwalifikowalnych</w:t>
      </w:r>
      <w:proofErr w:type="spellEnd"/>
      <w:r w:rsidRPr="006C7903">
        <w:rPr>
          <w:rFonts w:ascii="Calibri" w:hAnsi="Calibri" w:cs="Calibri"/>
        </w:rPr>
        <w:t>), w końcu 2012 roku powstał kompleks obiektów Parku, które składają się z: Inkubatora Technologicznego, zespołu laboratoriów: Laboratorium Badania Produktu Chemicznego, Laboratorium Medycznego, Laboratorium – Energii Odnawialnej i Laboratorium Multimedialnego, Hali Procesów Logistyczno – Produkcyjnych i Centrum Konferencyjnego.</w:t>
      </w:r>
      <w:r w:rsidRPr="00E905FC">
        <w:rPr>
          <w:lang w:eastAsia="pl-PL"/>
        </w:rPr>
        <w:t xml:space="preserve"> </w:t>
      </w:r>
    </w:p>
    <w:p w:rsidR="00F078DA" w:rsidRDefault="00F078DA" w:rsidP="00F078DA">
      <w:pPr>
        <w:pStyle w:val="Akapitzlist"/>
        <w:autoSpaceDE w:val="0"/>
        <w:autoSpaceDN w:val="0"/>
        <w:adjustRightInd w:val="0"/>
        <w:spacing w:after="0" w:line="240" w:lineRule="auto"/>
        <w:ind w:left="0"/>
        <w:jc w:val="both"/>
        <w:rPr>
          <w:lang w:eastAsia="pl-PL"/>
        </w:rPr>
      </w:pPr>
    </w:p>
    <w:p w:rsidR="00F078DA" w:rsidRPr="006C7903" w:rsidRDefault="00F078DA" w:rsidP="00F078DA">
      <w:pPr>
        <w:pStyle w:val="Akapitzlist"/>
        <w:autoSpaceDE w:val="0"/>
        <w:autoSpaceDN w:val="0"/>
        <w:adjustRightInd w:val="0"/>
        <w:spacing w:after="0" w:line="240" w:lineRule="auto"/>
        <w:ind w:left="0"/>
        <w:jc w:val="both"/>
        <w:rPr>
          <w:rFonts w:ascii="Calibri" w:hAnsi="Calibri" w:cs="Calibri"/>
        </w:rPr>
      </w:pPr>
      <w:r w:rsidRPr="006C7903">
        <w:rPr>
          <w:rFonts w:ascii="Calibri" w:hAnsi="Calibri" w:cs="Calibri"/>
        </w:rPr>
        <w:t>Celem strategicznym Parku jest stworzenie w Suwałkach atrakcyjnego miejsca wzajemnych powiązań pomiędzy nauką a biznesem, umożliwiającego transfer technologii i prowadzenie innowacyjnych form działalności gospodarczej i inwestowania.</w:t>
      </w:r>
    </w:p>
    <w:p w:rsidR="00F078DA" w:rsidRDefault="00F078DA" w:rsidP="00F078DA">
      <w:pPr>
        <w:pStyle w:val="Akapitzlist"/>
        <w:autoSpaceDE w:val="0"/>
        <w:autoSpaceDN w:val="0"/>
        <w:adjustRightInd w:val="0"/>
        <w:spacing w:after="0" w:line="240" w:lineRule="auto"/>
        <w:ind w:left="0"/>
        <w:jc w:val="both"/>
        <w:rPr>
          <w:lang w:eastAsia="pl-PL"/>
        </w:rPr>
      </w:pPr>
    </w:p>
    <w:p w:rsidR="00F078DA" w:rsidRDefault="00F078DA" w:rsidP="00F078DA">
      <w:pPr>
        <w:pStyle w:val="Akapitzlist"/>
        <w:autoSpaceDE w:val="0"/>
        <w:autoSpaceDN w:val="0"/>
        <w:adjustRightInd w:val="0"/>
        <w:spacing w:after="0" w:line="240" w:lineRule="auto"/>
        <w:ind w:left="0"/>
        <w:jc w:val="both"/>
        <w:rPr>
          <w:lang w:eastAsia="pl-PL"/>
        </w:rPr>
      </w:pPr>
      <w:r>
        <w:rPr>
          <w:lang w:eastAsia="pl-PL"/>
        </w:rPr>
        <w:t xml:space="preserve">Pomimo faktu, iż </w:t>
      </w:r>
      <w:r>
        <w:t>zgodnie z danymi statystycznymi przytoczonymi w</w:t>
      </w:r>
      <w:r w:rsidR="00B83C18">
        <w:t xml:space="preserve"> części diagnostycznej programu</w:t>
      </w:r>
      <w:r>
        <w:t xml:space="preserve">, </w:t>
      </w:r>
      <w:r w:rsidRPr="004E4CB9">
        <w:rPr>
          <w:lang w:eastAsia="pl-PL"/>
        </w:rPr>
        <w:t xml:space="preserve">Suwałki </w:t>
      </w:r>
      <w:r>
        <w:rPr>
          <w:lang w:eastAsia="pl-PL"/>
        </w:rPr>
        <w:t>nie odbiegają liczbą podmiotów gospodarczych na 1000 mieszkańców od średniej dla Polski oraz</w:t>
      </w:r>
      <w:r w:rsidRPr="004E4CB9">
        <w:rPr>
          <w:lang w:eastAsia="pl-PL"/>
        </w:rPr>
        <w:t xml:space="preserve"> grupy kontrolnej</w:t>
      </w:r>
      <w:r w:rsidR="00C47BAC">
        <w:rPr>
          <w:lang w:eastAsia="pl-PL"/>
        </w:rPr>
        <w:t>,</w:t>
      </w:r>
      <w:r>
        <w:rPr>
          <w:lang w:eastAsia="pl-PL"/>
        </w:rPr>
        <w:t xml:space="preserve"> a wyprzedzają znacznie </w:t>
      </w:r>
      <w:r w:rsidR="00717FD1">
        <w:rPr>
          <w:lang w:eastAsia="pl-PL"/>
        </w:rPr>
        <w:t>średnią w województwie podlaskim</w:t>
      </w:r>
      <w:r>
        <w:rPr>
          <w:lang w:eastAsia="pl-PL"/>
        </w:rPr>
        <w:t>, niezbędne jest podniesienie innowacyjności gospodarki miasta, która tradycyjnie jest kojarzona z branżami uznawanymi za mniej zaawansowane technologicznie.</w:t>
      </w:r>
    </w:p>
    <w:p w:rsidR="00F078DA" w:rsidRDefault="00F078DA" w:rsidP="00F078DA">
      <w:pPr>
        <w:pStyle w:val="Akapitzlist"/>
        <w:autoSpaceDE w:val="0"/>
        <w:autoSpaceDN w:val="0"/>
        <w:adjustRightInd w:val="0"/>
        <w:spacing w:after="0" w:line="240" w:lineRule="auto"/>
        <w:ind w:left="0"/>
        <w:jc w:val="both"/>
        <w:rPr>
          <w:lang w:eastAsia="pl-PL"/>
        </w:rPr>
      </w:pPr>
    </w:p>
    <w:p w:rsidR="00F078DA" w:rsidRDefault="00F078DA" w:rsidP="00F078DA">
      <w:pPr>
        <w:pStyle w:val="Akapitzlist"/>
        <w:autoSpaceDE w:val="0"/>
        <w:autoSpaceDN w:val="0"/>
        <w:adjustRightInd w:val="0"/>
        <w:spacing w:after="0" w:line="240" w:lineRule="auto"/>
        <w:ind w:left="0"/>
        <w:jc w:val="both"/>
        <w:rPr>
          <w:lang w:eastAsia="pl-PL"/>
        </w:rPr>
      </w:pPr>
      <w:r>
        <w:rPr>
          <w:lang w:eastAsia="pl-PL"/>
        </w:rPr>
        <w:t>Oferta Parku NT dla przedsiębiorców będzie obejmowała usługi wzajemnie się uzupełniające. Wa</w:t>
      </w:r>
      <w:r w:rsidR="00A76B9D">
        <w:rPr>
          <w:lang w:eastAsia="pl-PL"/>
        </w:rPr>
        <w:t xml:space="preserve">chlarz usług będzie tworzony </w:t>
      </w:r>
      <w:r>
        <w:rPr>
          <w:lang w:eastAsia="pl-PL"/>
        </w:rPr>
        <w:t>w oparciu o stałą współpracę z przedsiębiorcami tak aby tworzyć instrumenty odpowiadające na zmieniające się potrzeby lokalnej gospodarki.</w:t>
      </w:r>
      <w:r w:rsidR="00C47BAC">
        <w:rPr>
          <w:lang w:eastAsia="pl-PL"/>
        </w:rPr>
        <w:t xml:space="preserve"> Jednocześnie infrastruktura laboratoryjna Parku NT ma przyczynić się do podniesienia innowacyjności gospodarki lokalnej.</w:t>
      </w:r>
    </w:p>
    <w:p w:rsidR="00C47BAC" w:rsidRDefault="00C47BAC" w:rsidP="00F078DA">
      <w:pPr>
        <w:pStyle w:val="Akapitzlist"/>
        <w:autoSpaceDE w:val="0"/>
        <w:autoSpaceDN w:val="0"/>
        <w:adjustRightInd w:val="0"/>
        <w:spacing w:after="0" w:line="240" w:lineRule="auto"/>
        <w:ind w:left="0"/>
        <w:jc w:val="both"/>
        <w:rPr>
          <w:lang w:eastAsia="pl-PL"/>
        </w:rPr>
      </w:pPr>
    </w:p>
    <w:p w:rsidR="00BC1C74" w:rsidRDefault="00F078DA" w:rsidP="00BC1C74">
      <w:pPr>
        <w:pStyle w:val="Akapitzlist"/>
        <w:autoSpaceDE w:val="0"/>
        <w:autoSpaceDN w:val="0"/>
        <w:adjustRightInd w:val="0"/>
        <w:spacing w:after="0" w:line="240" w:lineRule="auto"/>
        <w:ind w:left="0"/>
        <w:jc w:val="both"/>
        <w:rPr>
          <w:lang w:eastAsia="pl-PL"/>
        </w:rPr>
      </w:pPr>
      <w:r>
        <w:rPr>
          <w:lang w:eastAsia="pl-PL"/>
        </w:rPr>
        <w:t>Przewiduje się wdrożenie dopasowanych do potrzeb klienta instrumentów finansowych, usług doradczych, informacyjnych oraz szkoleniowych</w:t>
      </w:r>
      <w:r w:rsidR="005451A8">
        <w:rPr>
          <w:lang w:eastAsia="pl-PL"/>
        </w:rPr>
        <w:t>, zwłaszcza w inkubatorze przedsiębiorczości gdzie specjalna oferta będzie uruchomiona dla młodych przedsiębiorców</w:t>
      </w:r>
      <w:r>
        <w:rPr>
          <w:lang w:eastAsia="pl-PL"/>
        </w:rPr>
        <w:t>.</w:t>
      </w:r>
    </w:p>
    <w:p w:rsidR="00BC1C74" w:rsidRDefault="00BC1C74" w:rsidP="00BC1C74">
      <w:pPr>
        <w:pStyle w:val="Akapitzlist"/>
        <w:autoSpaceDE w:val="0"/>
        <w:autoSpaceDN w:val="0"/>
        <w:adjustRightInd w:val="0"/>
        <w:spacing w:after="0" w:line="240" w:lineRule="auto"/>
        <w:ind w:left="0"/>
        <w:jc w:val="both"/>
        <w:rPr>
          <w:lang w:eastAsia="pl-PL"/>
        </w:rPr>
      </w:pPr>
    </w:p>
    <w:p w:rsidR="00BC1C74" w:rsidRDefault="00BC1C74" w:rsidP="00BC1C74">
      <w:pPr>
        <w:pStyle w:val="Akapitzlist"/>
        <w:autoSpaceDE w:val="0"/>
        <w:autoSpaceDN w:val="0"/>
        <w:adjustRightInd w:val="0"/>
        <w:spacing w:after="0" w:line="240" w:lineRule="auto"/>
        <w:ind w:left="0"/>
        <w:jc w:val="both"/>
        <w:rPr>
          <w:lang w:eastAsia="pl-PL"/>
        </w:rPr>
      </w:pPr>
    </w:p>
    <w:p w:rsidR="00BC1C74" w:rsidRDefault="00BC1C74" w:rsidP="00BC1C74">
      <w:pPr>
        <w:pStyle w:val="Akapitzlist"/>
        <w:autoSpaceDE w:val="0"/>
        <w:autoSpaceDN w:val="0"/>
        <w:adjustRightInd w:val="0"/>
        <w:spacing w:after="0" w:line="240" w:lineRule="auto"/>
        <w:ind w:left="0"/>
        <w:jc w:val="both"/>
        <w:rPr>
          <w:lang w:eastAsia="pl-PL"/>
        </w:rPr>
      </w:pPr>
    </w:p>
    <w:p w:rsidR="00BC1C74" w:rsidRDefault="00BC1C74" w:rsidP="00BC1C74">
      <w:pPr>
        <w:pStyle w:val="Akapitzlist"/>
        <w:autoSpaceDE w:val="0"/>
        <w:autoSpaceDN w:val="0"/>
        <w:adjustRightInd w:val="0"/>
        <w:spacing w:after="0" w:line="240" w:lineRule="auto"/>
        <w:ind w:left="0"/>
        <w:jc w:val="both"/>
        <w:rPr>
          <w:lang w:eastAsia="pl-PL"/>
        </w:rPr>
      </w:pPr>
    </w:p>
    <w:p w:rsidR="00FC3E45" w:rsidRDefault="00FC3E45" w:rsidP="00BC1C74">
      <w:pPr>
        <w:pStyle w:val="Nagwek4"/>
        <w:rPr>
          <w:lang w:eastAsia="pl-PL"/>
        </w:rPr>
      </w:pPr>
      <w:r>
        <w:t>1.4.2.1. Fundusz zalążkowy</w:t>
      </w:r>
    </w:p>
    <w:p w:rsidR="00FC3E45" w:rsidRDefault="00FC3E45" w:rsidP="00085798">
      <w:pPr>
        <w:pStyle w:val="Akapitzlist"/>
        <w:autoSpaceDE w:val="0"/>
        <w:autoSpaceDN w:val="0"/>
        <w:adjustRightInd w:val="0"/>
        <w:spacing w:after="0" w:line="240" w:lineRule="auto"/>
        <w:ind w:left="0"/>
        <w:jc w:val="both"/>
      </w:pPr>
    </w:p>
    <w:p w:rsidR="00085798" w:rsidRDefault="00085798" w:rsidP="00085798">
      <w:pPr>
        <w:pStyle w:val="Akapitzlist"/>
        <w:autoSpaceDE w:val="0"/>
        <w:autoSpaceDN w:val="0"/>
        <w:adjustRightInd w:val="0"/>
        <w:spacing w:after="0" w:line="240" w:lineRule="auto"/>
        <w:ind w:left="0"/>
        <w:jc w:val="both"/>
        <w:rPr>
          <w:lang w:eastAsia="pl-PL"/>
        </w:rPr>
      </w:pPr>
      <w:r>
        <w:t xml:space="preserve">Elementem polityki władz miasta zmierzającej w kierunku podniesienia innowacyjności gospodarki miasta ma być </w:t>
      </w:r>
      <w:r w:rsidRPr="000E4A5B">
        <w:rPr>
          <w:lang w:eastAsia="pl-PL"/>
        </w:rPr>
        <w:t xml:space="preserve">uruchomienie w </w:t>
      </w:r>
      <w:r>
        <w:rPr>
          <w:lang w:eastAsia="pl-PL"/>
        </w:rPr>
        <w:t xml:space="preserve">Parku NT </w:t>
      </w:r>
      <w:r w:rsidRPr="000E4A5B">
        <w:rPr>
          <w:lang w:eastAsia="pl-PL"/>
        </w:rPr>
        <w:t>funduszu kapitałowego wspierającego firmy realizujące przedsięwzięcia podwyższonego ryzyka</w:t>
      </w:r>
      <w:r>
        <w:rPr>
          <w:lang w:eastAsia="pl-PL"/>
        </w:rPr>
        <w:t>.</w:t>
      </w:r>
      <w:r w:rsidR="00FC3E45">
        <w:rPr>
          <w:lang w:eastAsia="pl-PL"/>
        </w:rPr>
        <w:t xml:space="preserve"> </w:t>
      </w:r>
      <w:r>
        <w:t xml:space="preserve">W związku z powyższym konieczne jest stworzenie przedsiębiorcom warunków na wsparcie innowacyjnych przedsięwzięć poprzez utworzenie w Parku NT funduszu typu </w:t>
      </w:r>
      <w:proofErr w:type="spellStart"/>
      <w:r w:rsidRPr="00F6474A">
        <w:rPr>
          <w:i/>
        </w:rPr>
        <w:t>seed</w:t>
      </w:r>
      <w:proofErr w:type="spellEnd"/>
      <w:r w:rsidRPr="00F6474A">
        <w:rPr>
          <w:i/>
        </w:rPr>
        <w:t xml:space="preserve"> capital</w:t>
      </w:r>
      <w:r>
        <w:t xml:space="preserve"> </w:t>
      </w:r>
      <w:r w:rsidRPr="000E4A5B">
        <w:t>(</w:t>
      </w:r>
      <w:r>
        <w:t xml:space="preserve">tzw. „funduszu zalążkowego”/”funduszu </w:t>
      </w:r>
      <w:proofErr w:type="spellStart"/>
      <w:r>
        <w:t>zasiewowego</w:t>
      </w:r>
      <w:proofErr w:type="spellEnd"/>
      <w:r>
        <w:t>”</w:t>
      </w:r>
      <w:r w:rsidRPr="000E4A5B">
        <w:t xml:space="preserve">). Kapitał zalążkowy oznacza finansowanie przekazywane </w:t>
      </w:r>
      <w:r>
        <w:t>na wczesnym etapie rozwoju dla przedsięwzięć wysoce innowacyjnych, którym towarzyszy ryzyko wykluczające</w:t>
      </w:r>
      <w:r w:rsidR="00A76B9D">
        <w:t xml:space="preserve"> lub ograniczające</w:t>
      </w:r>
      <w:r>
        <w:t xml:space="preserve"> możliwość ich sfinansowania za pomocą klasycznych instrumentów oferowanych przez sektor bankowy</w:t>
      </w:r>
      <w:r w:rsidR="006F58C8">
        <w:t xml:space="preserve"> czy fundusze pożyczkowe</w:t>
      </w:r>
      <w:r>
        <w:t xml:space="preserve">. </w:t>
      </w:r>
    </w:p>
    <w:p w:rsidR="00FC3E45" w:rsidRDefault="00FC3E45" w:rsidP="00085798">
      <w:pPr>
        <w:pStyle w:val="Akapitzlist"/>
        <w:autoSpaceDE w:val="0"/>
        <w:autoSpaceDN w:val="0"/>
        <w:adjustRightInd w:val="0"/>
        <w:spacing w:after="0" w:line="240" w:lineRule="auto"/>
        <w:ind w:left="0"/>
        <w:jc w:val="both"/>
      </w:pPr>
    </w:p>
    <w:p w:rsidR="00085798" w:rsidRDefault="00085798" w:rsidP="00786B8B">
      <w:pPr>
        <w:pStyle w:val="Akapitzlist"/>
        <w:autoSpaceDE w:val="0"/>
        <w:autoSpaceDN w:val="0"/>
        <w:adjustRightInd w:val="0"/>
        <w:spacing w:after="0" w:line="240" w:lineRule="auto"/>
        <w:ind w:left="0"/>
        <w:jc w:val="both"/>
      </w:pPr>
      <w:r>
        <w:t xml:space="preserve">Korzystając ze środków dostępnych w nowej perspektywie finansowej na wsparcie dla nowopowstałych firm przewiduje się utworzenie w Parku Naukowo-Technologicznym </w:t>
      </w:r>
      <w:r w:rsidRPr="00085798">
        <w:rPr>
          <w:b/>
        </w:rPr>
        <w:t>funduszu zalążkowego</w:t>
      </w:r>
      <w:r>
        <w:t xml:space="preserve">.  Warunkiem uzyskania wsparcia z takiego funduszu będzie złożenie wniosku o objęcie wsparciem wraz z </w:t>
      </w:r>
      <w:r w:rsidR="000B32F8">
        <w:t xml:space="preserve">gotowym biznes </w:t>
      </w:r>
      <w:r>
        <w:t>planem. Ostateczną decyzję o przyjęciu wniosku będzie podejmować Rada Nadzorcza</w:t>
      </w:r>
      <w:r w:rsidR="005451A8">
        <w:t xml:space="preserve"> Parku NT</w:t>
      </w:r>
      <w:r w:rsidR="00EF6894">
        <w:t xml:space="preserve"> po wcześniejszym zaopiniowaniu przez Radę Programową</w:t>
      </w:r>
      <w:r w:rsidR="000B32F8">
        <w:t xml:space="preserve"> Parku NT</w:t>
      </w:r>
      <w:r w:rsidR="00EF6894">
        <w:t xml:space="preserve">. </w:t>
      </w:r>
    </w:p>
    <w:p w:rsidR="00085798" w:rsidRDefault="00085798" w:rsidP="00085798">
      <w:pPr>
        <w:spacing w:after="0" w:line="240" w:lineRule="auto"/>
        <w:jc w:val="both"/>
      </w:pPr>
    </w:p>
    <w:p w:rsidR="00085798" w:rsidRDefault="00085798" w:rsidP="00085798">
      <w:pPr>
        <w:spacing w:after="0" w:line="240" w:lineRule="auto"/>
        <w:jc w:val="both"/>
      </w:pPr>
      <w:r>
        <w:t>Celem funduszu będzie wzrost wartości spółek, w które zainwestowane zostały środki. Dlatego też</w:t>
      </w:r>
      <w:r w:rsidRPr="00021598">
        <w:t xml:space="preserve"> </w:t>
      </w:r>
      <w:r>
        <w:t>przez cały okres inwestowania funduszu w nowo powstałą spółkę, przedstawiciel Parku</w:t>
      </w:r>
      <w:r w:rsidR="006F7AE1">
        <w:t xml:space="preserve"> NT</w:t>
      </w:r>
      <w:r>
        <w:t xml:space="preserve"> stanie się członkiem rady nadzorczej spółki po to aby móc </w:t>
      </w:r>
      <w:r w:rsidR="005451A8">
        <w:t xml:space="preserve">nadzorować jej działalność i </w:t>
      </w:r>
      <w:r>
        <w:t>analizować wyniki finansowe.</w:t>
      </w:r>
    </w:p>
    <w:p w:rsidR="00085798" w:rsidRDefault="00085798" w:rsidP="00085798">
      <w:pPr>
        <w:spacing w:after="0" w:line="240" w:lineRule="auto"/>
        <w:jc w:val="both"/>
      </w:pPr>
    </w:p>
    <w:p w:rsidR="00706B7F" w:rsidRPr="00B179F2" w:rsidRDefault="00085798" w:rsidP="00AB5E37">
      <w:pPr>
        <w:spacing w:after="0" w:line="240" w:lineRule="auto"/>
        <w:jc w:val="both"/>
      </w:pPr>
      <w:r>
        <w:t xml:space="preserve">Ze strony Parku NT, jako udziałowca nowych spółek, przedsiębiorcy uzyskujący finansowanie początkowe będą mogli oczekiwać wsparcia w zakresie doradztwa, otrzymać rekomendacje </w:t>
      </w:r>
      <w:r w:rsidR="00786B8B">
        <w:br/>
      </w:r>
      <w:r>
        <w:t>i kontakty, wsparcie</w:t>
      </w:r>
      <w:r w:rsidR="00256B80">
        <w:t xml:space="preserve"> w zakresie poszukiwania</w:t>
      </w:r>
      <w:r>
        <w:t xml:space="preserve"> kapitału z innych źródeł finansowania.</w:t>
      </w:r>
      <w:r w:rsidR="00786B8B">
        <w:t xml:space="preserve"> Przewiduje się, że Park NT będzie udziałowcem spółek przez okres 5-10 lat, w zależności od rodzaju działalności i </w:t>
      </w:r>
      <w:r w:rsidR="000B32F8">
        <w:t xml:space="preserve">założeń </w:t>
      </w:r>
      <w:r w:rsidR="00786B8B">
        <w:t>biznes planu.</w:t>
      </w:r>
    </w:p>
    <w:p w:rsidR="00706B7F" w:rsidRDefault="00706B7F" w:rsidP="00AB5E37">
      <w:pPr>
        <w:spacing w:after="0" w:line="240" w:lineRule="auto"/>
        <w:jc w:val="both"/>
        <w:rPr>
          <w:rFonts w:ascii="Calibri" w:hAnsi="Calibri" w:cs="Calibri"/>
        </w:rPr>
      </w:pPr>
    </w:p>
    <w:tbl>
      <w:tblPr>
        <w:tblStyle w:val="Tabela-Siatka"/>
        <w:tblW w:w="0" w:type="auto"/>
        <w:tblLook w:val="04A0"/>
      </w:tblPr>
      <w:tblGrid>
        <w:gridCol w:w="2045"/>
        <w:gridCol w:w="2258"/>
        <w:gridCol w:w="1812"/>
        <w:gridCol w:w="1418"/>
        <w:gridCol w:w="1755"/>
      </w:tblGrid>
      <w:tr w:rsidR="00FC3E45" w:rsidRPr="002B47D5" w:rsidTr="00ED3014">
        <w:tc>
          <w:tcPr>
            <w:tcW w:w="2045" w:type="dxa"/>
            <w:shd w:val="clear" w:color="auto" w:fill="4F81BD" w:themeFill="accent1"/>
          </w:tcPr>
          <w:p w:rsidR="00FC3E45" w:rsidRPr="002B47D5" w:rsidRDefault="00FC3E45" w:rsidP="00ED3014">
            <w:pPr>
              <w:rPr>
                <w:color w:val="FFFFFF" w:themeColor="background1"/>
                <w:sz w:val="18"/>
                <w:szCs w:val="18"/>
              </w:rPr>
            </w:pPr>
            <w:r>
              <w:rPr>
                <w:color w:val="FFFFFF" w:themeColor="background1"/>
                <w:sz w:val="18"/>
                <w:szCs w:val="18"/>
              </w:rPr>
              <w:t>Działanie</w:t>
            </w:r>
          </w:p>
        </w:tc>
        <w:tc>
          <w:tcPr>
            <w:tcW w:w="2258" w:type="dxa"/>
            <w:shd w:val="clear" w:color="auto" w:fill="4F81BD" w:themeFill="accent1"/>
          </w:tcPr>
          <w:p w:rsidR="00FC3E45" w:rsidRPr="002B47D5" w:rsidRDefault="00FC3E45" w:rsidP="00ED3014">
            <w:pPr>
              <w:rPr>
                <w:color w:val="FFFFFF" w:themeColor="background1"/>
                <w:sz w:val="18"/>
                <w:szCs w:val="18"/>
              </w:rPr>
            </w:pPr>
            <w:r>
              <w:rPr>
                <w:color w:val="FFFFFF" w:themeColor="background1"/>
                <w:sz w:val="18"/>
                <w:szCs w:val="18"/>
              </w:rPr>
              <w:t>Podmioty odpowiedzialne</w:t>
            </w:r>
          </w:p>
        </w:tc>
        <w:tc>
          <w:tcPr>
            <w:tcW w:w="1812" w:type="dxa"/>
            <w:shd w:val="clear" w:color="auto" w:fill="4F81BD" w:themeFill="accent1"/>
          </w:tcPr>
          <w:p w:rsidR="00FC3E45" w:rsidRPr="002B47D5" w:rsidRDefault="00FC3E45" w:rsidP="00ED3014">
            <w:pPr>
              <w:rPr>
                <w:color w:val="FFFFFF" w:themeColor="background1"/>
                <w:sz w:val="18"/>
                <w:szCs w:val="18"/>
              </w:rPr>
            </w:pPr>
            <w:r>
              <w:rPr>
                <w:color w:val="FFFFFF" w:themeColor="background1"/>
                <w:sz w:val="18"/>
                <w:szCs w:val="18"/>
              </w:rPr>
              <w:t>Grupy docelowe</w:t>
            </w:r>
          </w:p>
        </w:tc>
        <w:tc>
          <w:tcPr>
            <w:tcW w:w="1418" w:type="dxa"/>
            <w:shd w:val="clear" w:color="auto" w:fill="4F81BD" w:themeFill="accent1"/>
          </w:tcPr>
          <w:p w:rsidR="00FC3E45" w:rsidRDefault="00FC3E45" w:rsidP="00ED3014">
            <w:pPr>
              <w:rPr>
                <w:color w:val="FFFFFF" w:themeColor="background1"/>
                <w:sz w:val="18"/>
                <w:szCs w:val="18"/>
              </w:rPr>
            </w:pPr>
            <w:r>
              <w:rPr>
                <w:color w:val="FFFFFF" w:themeColor="background1"/>
                <w:sz w:val="18"/>
                <w:szCs w:val="18"/>
              </w:rPr>
              <w:t>Koszt</w:t>
            </w:r>
          </w:p>
        </w:tc>
        <w:tc>
          <w:tcPr>
            <w:tcW w:w="1755" w:type="dxa"/>
            <w:shd w:val="clear" w:color="auto" w:fill="4F81BD" w:themeFill="accent1"/>
          </w:tcPr>
          <w:p w:rsidR="00FC3E45" w:rsidRPr="002B47D5" w:rsidRDefault="00FC3E45" w:rsidP="00ED3014">
            <w:pPr>
              <w:rPr>
                <w:color w:val="FFFFFF" w:themeColor="background1"/>
                <w:sz w:val="18"/>
                <w:szCs w:val="18"/>
              </w:rPr>
            </w:pPr>
            <w:r>
              <w:rPr>
                <w:color w:val="FFFFFF" w:themeColor="background1"/>
                <w:sz w:val="18"/>
                <w:szCs w:val="18"/>
              </w:rPr>
              <w:t>Źródła finansowania</w:t>
            </w:r>
          </w:p>
        </w:tc>
      </w:tr>
      <w:tr w:rsidR="00FC3E45" w:rsidRPr="002B47D5" w:rsidTr="00ED3014">
        <w:tc>
          <w:tcPr>
            <w:tcW w:w="2045" w:type="dxa"/>
          </w:tcPr>
          <w:p w:rsidR="00FC3E45" w:rsidRPr="005152A0" w:rsidRDefault="00FC3E45" w:rsidP="00ED3014">
            <w:pPr>
              <w:jc w:val="both"/>
              <w:rPr>
                <w:sz w:val="18"/>
                <w:szCs w:val="18"/>
              </w:rPr>
            </w:pPr>
            <w:r>
              <w:rPr>
                <w:sz w:val="18"/>
                <w:szCs w:val="18"/>
              </w:rPr>
              <w:t>U</w:t>
            </w:r>
            <w:r w:rsidRPr="002266DB">
              <w:rPr>
                <w:sz w:val="18"/>
                <w:szCs w:val="18"/>
              </w:rPr>
              <w:t>tworzenie w Parku Naukowo-Technologicznym funduszu zalążkowego</w:t>
            </w:r>
          </w:p>
        </w:tc>
        <w:tc>
          <w:tcPr>
            <w:tcW w:w="2258" w:type="dxa"/>
          </w:tcPr>
          <w:p w:rsidR="00FC3E45" w:rsidRPr="002B47D5" w:rsidRDefault="00FC3E45" w:rsidP="00ED3014">
            <w:pPr>
              <w:jc w:val="both"/>
              <w:rPr>
                <w:sz w:val="18"/>
                <w:szCs w:val="18"/>
              </w:rPr>
            </w:pPr>
            <w:r>
              <w:rPr>
                <w:sz w:val="18"/>
                <w:szCs w:val="18"/>
              </w:rPr>
              <w:t>Park NT</w:t>
            </w:r>
          </w:p>
        </w:tc>
        <w:tc>
          <w:tcPr>
            <w:tcW w:w="1812" w:type="dxa"/>
          </w:tcPr>
          <w:p w:rsidR="00FC3E45" w:rsidRPr="002B47D5" w:rsidRDefault="00FC3E45" w:rsidP="00ED3014">
            <w:pPr>
              <w:jc w:val="both"/>
              <w:rPr>
                <w:sz w:val="18"/>
                <w:szCs w:val="18"/>
              </w:rPr>
            </w:pPr>
            <w:r>
              <w:rPr>
                <w:sz w:val="18"/>
                <w:szCs w:val="18"/>
              </w:rPr>
              <w:t>Przedsiębiorcy</w:t>
            </w:r>
          </w:p>
        </w:tc>
        <w:tc>
          <w:tcPr>
            <w:tcW w:w="1418" w:type="dxa"/>
          </w:tcPr>
          <w:p w:rsidR="00FC3E45" w:rsidRPr="002B47D5" w:rsidRDefault="00155B37" w:rsidP="00ED3014">
            <w:pPr>
              <w:jc w:val="both"/>
              <w:rPr>
                <w:sz w:val="18"/>
                <w:szCs w:val="18"/>
              </w:rPr>
            </w:pPr>
            <w:r>
              <w:rPr>
                <w:sz w:val="18"/>
                <w:szCs w:val="18"/>
              </w:rPr>
              <w:t>10.000.000 zł</w:t>
            </w:r>
          </w:p>
        </w:tc>
        <w:tc>
          <w:tcPr>
            <w:tcW w:w="1755" w:type="dxa"/>
          </w:tcPr>
          <w:p w:rsidR="00FC3E45" w:rsidRPr="002B47D5" w:rsidRDefault="00FC3E45" w:rsidP="00ED3014">
            <w:pPr>
              <w:jc w:val="left"/>
              <w:rPr>
                <w:sz w:val="18"/>
                <w:szCs w:val="18"/>
              </w:rPr>
            </w:pPr>
            <w:r>
              <w:rPr>
                <w:sz w:val="18"/>
                <w:szCs w:val="18"/>
              </w:rPr>
              <w:t>Fundusze unijne, środki własne Parku NT</w:t>
            </w:r>
          </w:p>
        </w:tc>
      </w:tr>
    </w:tbl>
    <w:p w:rsidR="00EF6894" w:rsidRDefault="00EF6894" w:rsidP="00FC3E45">
      <w:pPr>
        <w:pStyle w:val="Nagwek4"/>
      </w:pPr>
    </w:p>
    <w:p w:rsidR="00FC3E45" w:rsidRDefault="00FC3E45" w:rsidP="00FC3E45">
      <w:pPr>
        <w:pStyle w:val="Nagwek4"/>
      </w:pPr>
      <w:r>
        <w:t>1.4.2.2. Usługi dla biznesu</w:t>
      </w:r>
    </w:p>
    <w:p w:rsidR="00AB5E37" w:rsidRPr="00EF6894" w:rsidRDefault="00AB5E37" w:rsidP="00AB5E37">
      <w:pPr>
        <w:spacing w:after="0" w:line="240" w:lineRule="auto"/>
        <w:jc w:val="both"/>
      </w:pPr>
      <w:r>
        <w:rPr>
          <w:rFonts w:ascii="Calibri" w:hAnsi="Calibri" w:cs="Calibri"/>
        </w:rPr>
        <w:t xml:space="preserve">Oprócz instrumentów finansowych skierowanych do przedsiębiorców innowacyjnych, Park będzie stanowił </w:t>
      </w:r>
      <w:r w:rsidRPr="00AB5E37">
        <w:rPr>
          <w:rFonts w:ascii="Calibri" w:hAnsi="Calibri" w:cs="Calibri"/>
          <w:b/>
        </w:rPr>
        <w:t>ośrodek usług skierowanych do biznesu</w:t>
      </w:r>
      <w:r>
        <w:rPr>
          <w:rFonts w:ascii="Calibri" w:hAnsi="Calibri" w:cs="Calibri"/>
        </w:rPr>
        <w:t>. Będą to usługi:</w:t>
      </w:r>
    </w:p>
    <w:p w:rsidR="00AB5E37" w:rsidRDefault="00C60192" w:rsidP="00FE3FC5">
      <w:pPr>
        <w:pStyle w:val="Akapitzlist"/>
        <w:numPr>
          <w:ilvl w:val="0"/>
          <w:numId w:val="3"/>
        </w:numPr>
        <w:spacing w:after="0" w:line="240" w:lineRule="auto"/>
        <w:jc w:val="both"/>
        <w:rPr>
          <w:rFonts w:ascii="Calibri" w:hAnsi="Calibri" w:cs="Calibri"/>
        </w:rPr>
      </w:pPr>
      <w:r w:rsidRPr="00C60192">
        <w:rPr>
          <w:rFonts w:ascii="Calibri" w:hAnsi="Calibri" w:cs="Calibri"/>
          <w:b/>
        </w:rPr>
        <w:t>do</w:t>
      </w:r>
      <w:r w:rsidR="00AB5E37" w:rsidRPr="00C60192">
        <w:rPr>
          <w:rFonts w:ascii="Calibri" w:hAnsi="Calibri" w:cs="Calibri"/>
          <w:b/>
        </w:rPr>
        <w:t>radcze</w:t>
      </w:r>
      <w:r w:rsidR="00AB5E37">
        <w:rPr>
          <w:rFonts w:ascii="Calibri" w:hAnsi="Calibri" w:cs="Calibri"/>
        </w:rPr>
        <w:t>: kwestie prawno-administracyjne, możliwości pozyskania środków zewnętrznych (funduszy unijnych, instrumentów zwrotnych), zarządzania i zasobów ludzkich;</w:t>
      </w:r>
    </w:p>
    <w:p w:rsidR="00830011" w:rsidRDefault="00C60192" w:rsidP="000B7048">
      <w:pPr>
        <w:pStyle w:val="Akapitzlist"/>
        <w:numPr>
          <w:ilvl w:val="0"/>
          <w:numId w:val="3"/>
        </w:numPr>
        <w:spacing w:after="0" w:line="240" w:lineRule="auto"/>
        <w:jc w:val="both"/>
      </w:pPr>
      <w:r w:rsidRPr="00C60192">
        <w:rPr>
          <w:b/>
        </w:rPr>
        <w:t>uczestnictwo w sieciach współpracy podmiotów wspierających przedsiębiorczość</w:t>
      </w:r>
      <w:r>
        <w:rPr>
          <w:b/>
        </w:rPr>
        <w:t xml:space="preserve"> – </w:t>
      </w:r>
      <w:r>
        <w:t xml:space="preserve">zamierzeniem władz Parku NT jest udział w inicjatywach promujących przedsiębiorców z regionu za granicą w ramach projektów z udziałem uczelni, fundacji rozwoju, instytucji otoczenia biznesu, dofinansowanych ze środków UE. </w:t>
      </w:r>
    </w:p>
    <w:p w:rsidR="000B7048" w:rsidRDefault="000B7048" w:rsidP="00C60192">
      <w:pPr>
        <w:pStyle w:val="Akapitzlist"/>
        <w:spacing w:after="0" w:line="240" w:lineRule="auto"/>
        <w:jc w:val="both"/>
      </w:pPr>
    </w:p>
    <w:p w:rsidR="00830011" w:rsidRDefault="00C60192" w:rsidP="00C60192">
      <w:pPr>
        <w:pStyle w:val="Akapitzlist"/>
        <w:spacing w:after="0" w:line="240" w:lineRule="auto"/>
        <w:jc w:val="both"/>
      </w:pPr>
      <w:r w:rsidRPr="00C60192">
        <w:t xml:space="preserve">Planowane jest przyłączenie Parku do międzynarodowej sieci współpracy </w:t>
      </w:r>
      <w:proofErr w:type="spellStart"/>
      <w:r w:rsidRPr="00C60192">
        <w:t>Enterprise</w:t>
      </w:r>
      <w:proofErr w:type="spellEnd"/>
      <w:r w:rsidRPr="00C60192">
        <w:t xml:space="preserve"> Europe Network ś</w:t>
      </w:r>
      <w:r w:rsidR="002B340F">
        <w:t>wiadczącej usługi dla sektora MŚ</w:t>
      </w:r>
      <w:r w:rsidRPr="00C60192">
        <w:t>P w obszarze współpracy międzynarodowej, poszukiwania partnerów gospodarczych i technologic</w:t>
      </w:r>
      <w:r>
        <w:t>znych oraz usług informacyjnych</w:t>
      </w:r>
      <w:r w:rsidR="000B7048">
        <w:t xml:space="preserve">. </w:t>
      </w:r>
    </w:p>
    <w:p w:rsidR="000B7048" w:rsidRDefault="000B7048" w:rsidP="000B7048">
      <w:pPr>
        <w:pStyle w:val="Akapitzlist"/>
        <w:spacing w:after="0" w:line="240" w:lineRule="auto"/>
        <w:jc w:val="both"/>
      </w:pPr>
    </w:p>
    <w:p w:rsidR="000B7048" w:rsidRPr="000B7048" w:rsidRDefault="00830011" w:rsidP="000B7048">
      <w:pPr>
        <w:pStyle w:val="Akapitzlist"/>
        <w:spacing w:after="0" w:line="240" w:lineRule="auto"/>
        <w:jc w:val="both"/>
      </w:pPr>
      <w:r>
        <w:t>P</w:t>
      </w:r>
      <w:r w:rsidRPr="00C60192">
        <w:t xml:space="preserve">odczas spotkań kooperacyjnych i imprez typu </w:t>
      </w:r>
      <w:proofErr w:type="spellStart"/>
      <w:r w:rsidRPr="00C60192">
        <w:t>brokerage</w:t>
      </w:r>
      <w:proofErr w:type="spellEnd"/>
      <w:r w:rsidRPr="00C60192">
        <w:t xml:space="preserve"> organizowanych przez sieć </w:t>
      </w:r>
      <w:proofErr w:type="spellStart"/>
      <w:r w:rsidRPr="00C60192">
        <w:t>Enterprise</w:t>
      </w:r>
      <w:proofErr w:type="spellEnd"/>
      <w:r w:rsidRPr="00C60192">
        <w:t xml:space="preserve"> Europe Network</w:t>
      </w:r>
      <w:r>
        <w:t xml:space="preserve"> </w:t>
      </w:r>
      <w:r w:rsidR="00C60192">
        <w:t>przewiduje się prowadzenie promocji</w:t>
      </w:r>
      <w:r>
        <w:t xml:space="preserve"> lokatorów Parku NT;</w:t>
      </w:r>
    </w:p>
    <w:p w:rsidR="00AB5E37" w:rsidRPr="00EF6894" w:rsidRDefault="00786B8B" w:rsidP="00AB5E37">
      <w:pPr>
        <w:pStyle w:val="Akapitzlist"/>
        <w:numPr>
          <w:ilvl w:val="0"/>
          <w:numId w:val="3"/>
        </w:numPr>
        <w:spacing w:after="0" w:line="240" w:lineRule="auto"/>
        <w:jc w:val="both"/>
        <w:rPr>
          <w:rFonts w:ascii="Calibri" w:hAnsi="Calibri" w:cs="Calibri"/>
        </w:rPr>
      </w:pPr>
      <w:r w:rsidRPr="00C60192">
        <w:rPr>
          <w:rFonts w:ascii="Calibri" w:hAnsi="Calibri" w:cs="Calibri"/>
          <w:b/>
        </w:rPr>
        <w:t>u</w:t>
      </w:r>
      <w:r w:rsidR="00AB5E37" w:rsidRPr="00C60192">
        <w:rPr>
          <w:rFonts w:ascii="Calibri" w:hAnsi="Calibri" w:cs="Calibri"/>
          <w:b/>
        </w:rPr>
        <w:t>sługi szkoleniowe, konferencyjne</w:t>
      </w:r>
      <w:r w:rsidR="00AB5E37">
        <w:rPr>
          <w:rFonts w:ascii="Calibri" w:hAnsi="Calibri" w:cs="Calibri"/>
        </w:rPr>
        <w:t>.</w:t>
      </w:r>
    </w:p>
    <w:p w:rsidR="00AB5E37" w:rsidRDefault="00AB5E37" w:rsidP="00AB5E37">
      <w:pPr>
        <w:spacing w:after="0" w:line="240" w:lineRule="auto"/>
        <w:jc w:val="both"/>
        <w:rPr>
          <w:rFonts w:ascii="Calibri" w:hAnsi="Calibri" w:cs="Calibri"/>
        </w:rPr>
      </w:pPr>
      <w:r>
        <w:rPr>
          <w:rFonts w:ascii="Calibri" w:hAnsi="Calibri" w:cs="Calibri"/>
        </w:rPr>
        <w:t xml:space="preserve">Oprócz usług doradczych i szkoleniowych Park NT zapewni: </w:t>
      </w:r>
    </w:p>
    <w:p w:rsidR="00AB5E37" w:rsidRDefault="00786B8B" w:rsidP="00FE3FC5">
      <w:pPr>
        <w:pStyle w:val="Akapitzlist"/>
        <w:numPr>
          <w:ilvl w:val="0"/>
          <w:numId w:val="4"/>
        </w:numPr>
        <w:spacing w:after="0" w:line="240" w:lineRule="auto"/>
        <w:jc w:val="both"/>
        <w:rPr>
          <w:rFonts w:ascii="Calibri" w:hAnsi="Calibri" w:cs="Calibri"/>
        </w:rPr>
      </w:pPr>
      <w:r>
        <w:rPr>
          <w:rFonts w:ascii="Calibri" w:hAnsi="Calibri" w:cs="Calibri"/>
        </w:rPr>
        <w:t>d</w:t>
      </w:r>
      <w:r w:rsidR="00AB5E37">
        <w:rPr>
          <w:rFonts w:ascii="Calibri" w:hAnsi="Calibri" w:cs="Calibri"/>
        </w:rPr>
        <w:t>ostęp do powierzchni biurowej, laboratoryjnej oraz hal produkcyjnych;</w:t>
      </w:r>
    </w:p>
    <w:p w:rsidR="00AB5E37" w:rsidRDefault="00786B8B" w:rsidP="00FE3FC5">
      <w:pPr>
        <w:pStyle w:val="Akapitzlist"/>
        <w:numPr>
          <w:ilvl w:val="0"/>
          <w:numId w:val="4"/>
        </w:numPr>
        <w:spacing w:after="0" w:line="240" w:lineRule="auto"/>
        <w:jc w:val="both"/>
        <w:rPr>
          <w:rFonts w:ascii="Calibri" w:hAnsi="Calibri" w:cs="Calibri"/>
        </w:rPr>
      </w:pPr>
      <w:r>
        <w:rPr>
          <w:rFonts w:ascii="Calibri" w:hAnsi="Calibri" w:cs="Calibri"/>
        </w:rPr>
        <w:t>o</w:t>
      </w:r>
      <w:r w:rsidR="00AB5E37">
        <w:rPr>
          <w:rFonts w:ascii="Calibri" w:hAnsi="Calibri" w:cs="Calibri"/>
        </w:rPr>
        <w:t>bsługę biurową;</w:t>
      </w:r>
    </w:p>
    <w:p w:rsidR="00AB5E37" w:rsidRDefault="00786B8B" w:rsidP="00FE3FC5">
      <w:pPr>
        <w:pStyle w:val="Akapitzlist"/>
        <w:numPr>
          <w:ilvl w:val="0"/>
          <w:numId w:val="4"/>
        </w:numPr>
        <w:spacing w:after="0" w:line="240" w:lineRule="auto"/>
        <w:jc w:val="both"/>
        <w:rPr>
          <w:rFonts w:ascii="Calibri" w:hAnsi="Calibri" w:cs="Calibri"/>
        </w:rPr>
      </w:pPr>
      <w:r>
        <w:rPr>
          <w:rFonts w:ascii="Calibri" w:hAnsi="Calibri" w:cs="Calibri"/>
        </w:rPr>
        <w:t>d</w:t>
      </w:r>
      <w:r w:rsidR="00AB5E37">
        <w:rPr>
          <w:rFonts w:ascii="Calibri" w:hAnsi="Calibri" w:cs="Calibri"/>
        </w:rPr>
        <w:t>oradztwo prawne;</w:t>
      </w:r>
    </w:p>
    <w:p w:rsidR="00AB5E37" w:rsidRDefault="00786B8B" w:rsidP="00FE3FC5">
      <w:pPr>
        <w:pStyle w:val="Akapitzlist"/>
        <w:numPr>
          <w:ilvl w:val="0"/>
          <w:numId w:val="4"/>
        </w:numPr>
        <w:spacing w:after="0" w:line="240" w:lineRule="auto"/>
        <w:jc w:val="both"/>
        <w:rPr>
          <w:rFonts w:ascii="Calibri" w:hAnsi="Calibri" w:cs="Calibri"/>
        </w:rPr>
      </w:pPr>
      <w:r>
        <w:rPr>
          <w:rFonts w:ascii="Calibri" w:hAnsi="Calibri" w:cs="Calibri"/>
        </w:rPr>
        <w:t>d</w:t>
      </w:r>
      <w:r w:rsidR="00AB5E37">
        <w:rPr>
          <w:rFonts w:ascii="Calibri" w:hAnsi="Calibri" w:cs="Calibri"/>
        </w:rPr>
        <w:t>ostęp do Internetu;</w:t>
      </w:r>
    </w:p>
    <w:p w:rsidR="00AB5E37" w:rsidRDefault="00786B8B" w:rsidP="00FE3FC5">
      <w:pPr>
        <w:pStyle w:val="Akapitzlist"/>
        <w:numPr>
          <w:ilvl w:val="0"/>
          <w:numId w:val="4"/>
        </w:numPr>
        <w:spacing w:after="0" w:line="240" w:lineRule="auto"/>
        <w:jc w:val="both"/>
        <w:rPr>
          <w:rFonts w:ascii="Calibri" w:hAnsi="Calibri" w:cs="Calibri"/>
        </w:rPr>
      </w:pPr>
      <w:r>
        <w:rPr>
          <w:rFonts w:ascii="Calibri" w:hAnsi="Calibri" w:cs="Calibri"/>
        </w:rPr>
        <w:t>d</w:t>
      </w:r>
      <w:r w:rsidR="00AB5E37">
        <w:rPr>
          <w:rFonts w:ascii="Calibri" w:hAnsi="Calibri" w:cs="Calibri"/>
        </w:rPr>
        <w:t>ostęp do infrastruktury konfe</w:t>
      </w:r>
      <w:r w:rsidR="005451A8">
        <w:rPr>
          <w:rFonts w:ascii="Calibri" w:hAnsi="Calibri" w:cs="Calibri"/>
        </w:rPr>
        <w:t>rencyjnej i zaplecza socjalnego;</w:t>
      </w:r>
    </w:p>
    <w:p w:rsidR="005451A8" w:rsidRPr="00B434C9" w:rsidRDefault="00786B8B" w:rsidP="00FE3FC5">
      <w:pPr>
        <w:pStyle w:val="Akapitzlist"/>
        <w:numPr>
          <w:ilvl w:val="0"/>
          <w:numId w:val="4"/>
        </w:numPr>
        <w:spacing w:after="0" w:line="240" w:lineRule="auto"/>
        <w:jc w:val="both"/>
        <w:rPr>
          <w:rFonts w:ascii="Calibri" w:hAnsi="Calibri" w:cs="Calibri"/>
        </w:rPr>
      </w:pPr>
      <w:r>
        <w:rPr>
          <w:rFonts w:ascii="Calibri" w:hAnsi="Calibri" w:cs="Calibri"/>
        </w:rPr>
        <w:t>d</w:t>
      </w:r>
      <w:r w:rsidR="005451A8">
        <w:rPr>
          <w:rFonts w:ascii="Calibri" w:hAnsi="Calibri" w:cs="Calibri"/>
        </w:rPr>
        <w:t>ostęp do powierzchni serwerowej.</w:t>
      </w:r>
    </w:p>
    <w:p w:rsidR="00AB5E37" w:rsidRPr="004134E7" w:rsidRDefault="00AB5E37" w:rsidP="00AB5E37">
      <w:pPr>
        <w:pStyle w:val="Akapitzlist"/>
        <w:spacing w:after="0" w:line="240" w:lineRule="auto"/>
        <w:ind w:left="1416"/>
        <w:jc w:val="both"/>
        <w:rPr>
          <w:rFonts w:ascii="Calibri" w:hAnsi="Calibri" w:cs="Calibri"/>
        </w:rPr>
      </w:pPr>
    </w:p>
    <w:p w:rsidR="00A7457A" w:rsidRDefault="00AB5E37" w:rsidP="00A7457A">
      <w:pPr>
        <w:autoSpaceDE w:val="0"/>
        <w:autoSpaceDN w:val="0"/>
        <w:adjustRightInd w:val="0"/>
        <w:spacing w:after="0" w:line="240" w:lineRule="auto"/>
        <w:jc w:val="both"/>
        <w:rPr>
          <w:rFonts w:ascii="Calibri" w:hAnsi="Calibri" w:cs="Calibri"/>
        </w:rPr>
      </w:pPr>
      <w:r>
        <w:rPr>
          <w:rFonts w:ascii="Calibri" w:hAnsi="Calibri" w:cs="Calibri"/>
        </w:rPr>
        <w:t xml:space="preserve">Park NT będzie również zapewniał usługę wirtualnego biura, która będzie oferowała możliwość korzystania z adresu PNT jako adresu korespondencyjnego. </w:t>
      </w:r>
    </w:p>
    <w:p w:rsidR="00EF6894" w:rsidRDefault="00EF6894" w:rsidP="00A7457A">
      <w:pPr>
        <w:autoSpaceDE w:val="0"/>
        <w:autoSpaceDN w:val="0"/>
        <w:adjustRightInd w:val="0"/>
        <w:spacing w:after="0" w:line="240" w:lineRule="auto"/>
        <w:jc w:val="both"/>
        <w:rPr>
          <w:rFonts w:ascii="Calibri" w:hAnsi="Calibri" w:cs="Calibri"/>
        </w:rPr>
      </w:pPr>
    </w:p>
    <w:tbl>
      <w:tblPr>
        <w:tblStyle w:val="Tabela-Siatka"/>
        <w:tblW w:w="0" w:type="auto"/>
        <w:tblLook w:val="04A0"/>
      </w:tblPr>
      <w:tblGrid>
        <w:gridCol w:w="2045"/>
        <w:gridCol w:w="2258"/>
        <w:gridCol w:w="1812"/>
        <w:gridCol w:w="1418"/>
        <w:gridCol w:w="1755"/>
      </w:tblGrid>
      <w:tr w:rsidR="00A7457A" w:rsidRPr="002B47D5" w:rsidTr="00CB47C4">
        <w:tc>
          <w:tcPr>
            <w:tcW w:w="2045" w:type="dxa"/>
            <w:shd w:val="clear" w:color="auto" w:fill="4F81BD" w:themeFill="accent1"/>
          </w:tcPr>
          <w:p w:rsidR="00A7457A" w:rsidRPr="002B47D5" w:rsidRDefault="00A7457A" w:rsidP="00CB47C4">
            <w:pPr>
              <w:rPr>
                <w:color w:val="FFFFFF" w:themeColor="background1"/>
                <w:sz w:val="18"/>
                <w:szCs w:val="18"/>
              </w:rPr>
            </w:pPr>
            <w:r>
              <w:rPr>
                <w:color w:val="FFFFFF" w:themeColor="background1"/>
                <w:sz w:val="18"/>
                <w:szCs w:val="18"/>
              </w:rPr>
              <w:t>Działanie</w:t>
            </w:r>
          </w:p>
        </w:tc>
        <w:tc>
          <w:tcPr>
            <w:tcW w:w="2258" w:type="dxa"/>
            <w:shd w:val="clear" w:color="auto" w:fill="4F81BD" w:themeFill="accent1"/>
          </w:tcPr>
          <w:p w:rsidR="00A7457A" w:rsidRPr="002B47D5" w:rsidRDefault="00A7457A" w:rsidP="00CB47C4">
            <w:pPr>
              <w:rPr>
                <w:color w:val="FFFFFF" w:themeColor="background1"/>
                <w:sz w:val="18"/>
                <w:szCs w:val="18"/>
              </w:rPr>
            </w:pPr>
            <w:r>
              <w:rPr>
                <w:color w:val="FFFFFF" w:themeColor="background1"/>
                <w:sz w:val="18"/>
                <w:szCs w:val="18"/>
              </w:rPr>
              <w:t>Podmioty odpowiedzialne</w:t>
            </w:r>
          </w:p>
        </w:tc>
        <w:tc>
          <w:tcPr>
            <w:tcW w:w="1812" w:type="dxa"/>
            <w:shd w:val="clear" w:color="auto" w:fill="4F81BD" w:themeFill="accent1"/>
          </w:tcPr>
          <w:p w:rsidR="00A7457A" w:rsidRPr="002B47D5" w:rsidRDefault="00A7457A" w:rsidP="00CB47C4">
            <w:pPr>
              <w:rPr>
                <w:color w:val="FFFFFF" w:themeColor="background1"/>
                <w:sz w:val="18"/>
                <w:szCs w:val="18"/>
              </w:rPr>
            </w:pPr>
            <w:r>
              <w:rPr>
                <w:color w:val="FFFFFF" w:themeColor="background1"/>
                <w:sz w:val="18"/>
                <w:szCs w:val="18"/>
              </w:rPr>
              <w:t>Grupy docelowe</w:t>
            </w:r>
          </w:p>
        </w:tc>
        <w:tc>
          <w:tcPr>
            <w:tcW w:w="1418" w:type="dxa"/>
            <w:shd w:val="clear" w:color="auto" w:fill="4F81BD" w:themeFill="accent1"/>
          </w:tcPr>
          <w:p w:rsidR="00A7457A" w:rsidRDefault="00A7457A" w:rsidP="00CB47C4">
            <w:pPr>
              <w:rPr>
                <w:color w:val="FFFFFF" w:themeColor="background1"/>
                <w:sz w:val="18"/>
                <w:szCs w:val="18"/>
              </w:rPr>
            </w:pPr>
            <w:r>
              <w:rPr>
                <w:color w:val="FFFFFF" w:themeColor="background1"/>
                <w:sz w:val="18"/>
                <w:szCs w:val="18"/>
              </w:rPr>
              <w:t>Koszt</w:t>
            </w:r>
          </w:p>
        </w:tc>
        <w:tc>
          <w:tcPr>
            <w:tcW w:w="1755" w:type="dxa"/>
            <w:shd w:val="clear" w:color="auto" w:fill="4F81BD" w:themeFill="accent1"/>
          </w:tcPr>
          <w:p w:rsidR="00A7457A" w:rsidRPr="002B47D5" w:rsidRDefault="00A7457A" w:rsidP="00CB47C4">
            <w:pPr>
              <w:rPr>
                <w:color w:val="FFFFFF" w:themeColor="background1"/>
                <w:sz w:val="18"/>
                <w:szCs w:val="18"/>
              </w:rPr>
            </w:pPr>
            <w:r>
              <w:rPr>
                <w:color w:val="FFFFFF" w:themeColor="background1"/>
                <w:sz w:val="18"/>
                <w:szCs w:val="18"/>
              </w:rPr>
              <w:t>Źródła finansowania</w:t>
            </w:r>
          </w:p>
        </w:tc>
      </w:tr>
      <w:tr w:rsidR="00A7457A" w:rsidRPr="002B47D5" w:rsidTr="00CB47C4">
        <w:tc>
          <w:tcPr>
            <w:tcW w:w="2045" w:type="dxa"/>
          </w:tcPr>
          <w:p w:rsidR="00A7457A" w:rsidRPr="005152A0" w:rsidRDefault="00A7457A" w:rsidP="00CB47C4">
            <w:pPr>
              <w:jc w:val="both"/>
              <w:rPr>
                <w:sz w:val="18"/>
                <w:szCs w:val="18"/>
              </w:rPr>
            </w:pPr>
            <w:r>
              <w:rPr>
                <w:sz w:val="18"/>
                <w:szCs w:val="18"/>
              </w:rPr>
              <w:t xml:space="preserve">Park jako </w:t>
            </w:r>
            <w:r w:rsidRPr="002266DB">
              <w:rPr>
                <w:sz w:val="18"/>
                <w:szCs w:val="18"/>
              </w:rPr>
              <w:t>ośrodek usług skierowanych do biznesu</w:t>
            </w:r>
            <w:r>
              <w:rPr>
                <w:sz w:val="18"/>
                <w:szCs w:val="18"/>
              </w:rPr>
              <w:t xml:space="preserve"> (doradcze, szkoleniowe, lokalowe, prawne, techniczne)</w:t>
            </w:r>
          </w:p>
        </w:tc>
        <w:tc>
          <w:tcPr>
            <w:tcW w:w="2258" w:type="dxa"/>
          </w:tcPr>
          <w:p w:rsidR="00A7457A" w:rsidRPr="002B47D5" w:rsidRDefault="00A7457A" w:rsidP="00CB47C4">
            <w:pPr>
              <w:jc w:val="both"/>
              <w:rPr>
                <w:sz w:val="18"/>
                <w:szCs w:val="18"/>
              </w:rPr>
            </w:pPr>
            <w:r>
              <w:rPr>
                <w:sz w:val="18"/>
                <w:szCs w:val="18"/>
              </w:rPr>
              <w:t>Park NT</w:t>
            </w:r>
          </w:p>
        </w:tc>
        <w:tc>
          <w:tcPr>
            <w:tcW w:w="1812" w:type="dxa"/>
          </w:tcPr>
          <w:p w:rsidR="00A7457A" w:rsidRPr="002B47D5" w:rsidRDefault="00A7457A" w:rsidP="00CB47C4">
            <w:pPr>
              <w:jc w:val="both"/>
              <w:rPr>
                <w:sz w:val="18"/>
                <w:szCs w:val="18"/>
              </w:rPr>
            </w:pPr>
            <w:r>
              <w:rPr>
                <w:sz w:val="18"/>
                <w:szCs w:val="18"/>
              </w:rPr>
              <w:t>Przedsiębiorcy</w:t>
            </w:r>
          </w:p>
        </w:tc>
        <w:tc>
          <w:tcPr>
            <w:tcW w:w="1418" w:type="dxa"/>
          </w:tcPr>
          <w:p w:rsidR="00A7457A" w:rsidRPr="002B47D5" w:rsidRDefault="00786B8B" w:rsidP="00CB47C4">
            <w:pPr>
              <w:jc w:val="both"/>
              <w:rPr>
                <w:sz w:val="18"/>
                <w:szCs w:val="18"/>
              </w:rPr>
            </w:pPr>
            <w:r>
              <w:rPr>
                <w:sz w:val="18"/>
                <w:szCs w:val="18"/>
              </w:rPr>
              <w:t>-</w:t>
            </w:r>
          </w:p>
        </w:tc>
        <w:tc>
          <w:tcPr>
            <w:tcW w:w="1755" w:type="dxa"/>
          </w:tcPr>
          <w:p w:rsidR="00A7457A" w:rsidRDefault="00A7457A" w:rsidP="00CB47C4">
            <w:pPr>
              <w:jc w:val="left"/>
            </w:pPr>
            <w:r w:rsidRPr="00C95A79">
              <w:rPr>
                <w:sz w:val="18"/>
                <w:szCs w:val="18"/>
              </w:rPr>
              <w:t>Fundusze unijne, środki własne Parku NT</w:t>
            </w:r>
          </w:p>
        </w:tc>
      </w:tr>
      <w:tr w:rsidR="00C60192" w:rsidRPr="002B47D5" w:rsidTr="00CB47C4">
        <w:tc>
          <w:tcPr>
            <w:tcW w:w="2045" w:type="dxa"/>
          </w:tcPr>
          <w:p w:rsidR="00C60192" w:rsidRDefault="00C60192" w:rsidP="00CB47C4">
            <w:pPr>
              <w:jc w:val="both"/>
              <w:rPr>
                <w:sz w:val="18"/>
                <w:szCs w:val="18"/>
              </w:rPr>
            </w:pPr>
            <w:r>
              <w:rPr>
                <w:sz w:val="18"/>
                <w:szCs w:val="18"/>
              </w:rPr>
              <w:t>U</w:t>
            </w:r>
            <w:r w:rsidRPr="00C60192">
              <w:rPr>
                <w:sz w:val="18"/>
                <w:szCs w:val="18"/>
              </w:rPr>
              <w:t>czestnictwo w sieciach wsp</w:t>
            </w:r>
            <w:r w:rsidR="00830011">
              <w:rPr>
                <w:sz w:val="18"/>
                <w:szCs w:val="18"/>
              </w:rPr>
              <w:t xml:space="preserve">ółpracy podmiotów wspierających </w:t>
            </w:r>
            <w:r w:rsidRPr="00C60192">
              <w:rPr>
                <w:sz w:val="18"/>
                <w:szCs w:val="18"/>
              </w:rPr>
              <w:t>przedsiębiorczość</w:t>
            </w:r>
          </w:p>
        </w:tc>
        <w:tc>
          <w:tcPr>
            <w:tcW w:w="2258" w:type="dxa"/>
          </w:tcPr>
          <w:p w:rsidR="00C60192" w:rsidRPr="002B47D5" w:rsidRDefault="00C60192" w:rsidP="00C60192">
            <w:pPr>
              <w:jc w:val="both"/>
              <w:rPr>
                <w:sz w:val="18"/>
                <w:szCs w:val="18"/>
              </w:rPr>
            </w:pPr>
            <w:r>
              <w:rPr>
                <w:sz w:val="18"/>
                <w:szCs w:val="18"/>
              </w:rPr>
              <w:t>Park NT</w:t>
            </w:r>
          </w:p>
        </w:tc>
        <w:tc>
          <w:tcPr>
            <w:tcW w:w="1812" w:type="dxa"/>
          </w:tcPr>
          <w:p w:rsidR="00C60192" w:rsidRPr="002B47D5" w:rsidRDefault="00C60192" w:rsidP="00C60192">
            <w:pPr>
              <w:jc w:val="both"/>
              <w:rPr>
                <w:sz w:val="18"/>
                <w:szCs w:val="18"/>
              </w:rPr>
            </w:pPr>
            <w:r>
              <w:rPr>
                <w:sz w:val="18"/>
                <w:szCs w:val="18"/>
              </w:rPr>
              <w:t>Przedsiębiorcy</w:t>
            </w:r>
          </w:p>
        </w:tc>
        <w:tc>
          <w:tcPr>
            <w:tcW w:w="1418" w:type="dxa"/>
          </w:tcPr>
          <w:p w:rsidR="00C60192" w:rsidRPr="002B47D5" w:rsidRDefault="00C60192" w:rsidP="00C60192">
            <w:pPr>
              <w:jc w:val="both"/>
              <w:rPr>
                <w:sz w:val="18"/>
                <w:szCs w:val="18"/>
              </w:rPr>
            </w:pPr>
            <w:r>
              <w:rPr>
                <w:sz w:val="18"/>
                <w:szCs w:val="18"/>
              </w:rPr>
              <w:t>-</w:t>
            </w:r>
          </w:p>
        </w:tc>
        <w:tc>
          <w:tcPr>
            <w:tcW w:w="1755" w:type="dxa"/>
          </w:tcPr>
          <w:p w:rsidR="00C60192" w:rsidRDefault="00C60192" w:rsidP="00C60192">
            <w:pPr>
              <w:jc w:val="left"/>
            </w:pPr>
            <w:r w:rsidRPr="00C95A79">
              <w:rPr>
                <w:sz w:val="18"/>
                <w:szCs w:val="18"/>
              </w:rPr>
              <w:t>Fundusze unijne, środki własne Parku NT</w:t>
            </w:r>
          </w:p>
        </w:tc>
      </w:tr>
      <w:tr w:rsidR="00830011" w:rsidRPr="002B47D5" w:rsidTr="00CB47C4">
        <w:tc>
          <w:tcPr>
            <w:tcW w:w="2045" w:type="dxa"/>
          </w:tcPr>
          <w:p w:rsidR="00830011" w:rsidRDefault="00830011" w:rsidP="00152C09">
            <w:pPr>
              <w:jc w:val="both"/>
              <w:rPr>
                <w:sz w:val="18"/>
                <w:szCs w:val="18"/>
              </w:rPr>
            </w:pPr>
            <w:r>
              <w:rPr>
                <w:sz w:val="18"/>
                <w:szCs w:val="18"/>
              </w:rPr>
              <w:t xml:space="preserve">Promocja lokatorów Parków podczas spotkań kooperacyjnych i imprez typu </w:t>
            </w:r>
            <w:proofErr w:type="spellStart"/>
            <w:r>
              <w:rPr>
                <w:sz w:val="18"/>
                <w:szCs w:val="18"/>
              </w:rPr>
              <w:t>brokerage</w:t>
            </w:r>
            <w:proofErr w:type="spellEnd"/>
            <w:r>
              <w:rPr>
                <w:sz w:val="18"/>
                <w:szCs w:val="18"/>
              </w:rPr>
              <w:t xml:space="preserve"> organizowanych przez sieć </w:t>
            </w:r>
            <w:proofErr w:type="spellStart"/>
            <w:r>
              <w:rPr>
                <w:sz w:val="18"/>
                <w:szCs w:val="18"/>
              </w:rPr>
              <w:t>Enterprise</w:t>
            </w:r>
            <w:proofErr w:type="spellEnd"/>
            <w:r>
              <w:rPr>
                <w:sz w:val="18"/>
                <w:szCs w:val="18"/>
              </w:rPr>
              <w:t xml:space="preserve"> Europe Network</w:t>
            </w:r>
          </w:p>
        </w:tc>
        <w:tc>
          <w:tcPr>
            <w:tcW w:w="2258" w:type="dxa"/>
          </w:tcPr>
          <w:p w:rsidR="00830011" w:rsidRDefault="00830011" w:rsidP="00152C09">
            <w:pPr>
              <w:jc w:val="both"/>
              <w:rPr>
                <w:sz w:val="18"/>
                <w:szCs w:val="18"/>
              </w:rPr>
            </w:pPr>
            <w:r>
              <w:rPr>
                <w:sz w:val="18"/>
                <w:szCs w:val="18"/>
              </w:rPr>
              <w:t>Park NT</w:t>
            </w:r>
          </w:p>
        </w:tc>
        <w:tc>
          <w:tcPr>
            <w:tcW w:w="1812" w:type="dxa"/>
          </w:tcPr>
          <w:p w:rsidR="00830011" w:rsidRDefault="00830011" w:rsidP="00152C09">
            <w:pPr>
              <w:jc w:val="both"/>
              <w:rPr>
                <w:sz w:val="18"/>
                <w:szCs w:val="18"/>
              </w:rPr>
            </w:pPr>
            <w:r>
              <w:rPr>
                <w:sz w:val="18"/>
                <w:szCs w:val="18"/>
              </w:rPr>
              <w:t>Przedsiębiorcy, lokatorzy parku</w:t>
            </w:r>
          </w:p>
        </w:tc>
        <w:tc>
          <w:tcPr>
            <w:tcW w:w="1418" w:type="dxa"/>
          </w:tcPr>
          <w:p w:rsidR="00830011" w:rsidRPr="002B47D5" w:rsidRDefault="000B7048" w:rsidP="00152C09">
            <w:pPr>
              <w:jc w:val="both"/>
              <w:rPr>
                <w:sz w:val="18"/>
                <w:szCs w:val="18"/>
              </w:rPr>
            </w:pPr>
            <w:r>
              <w:rPr>
                <w:sz w:val="18"/>
                <w:szCs w:val="18"/>
              </w:rPr>
              <w:t>w zależności od budżetu projektu</w:t>
            </w:r>
          </w:p>
        </w:tc>
        <w:tc>
          <w:tcPr>
            <w:tcW w:w="1755" w:type="dxa"/>
          </w:tcPr>
          <w:p w:rsidR="00830011" w:rsidRPr="00C95A79" w:rsidRDefault="00830011" w:rsidP="000B7048">
            <w:pPr>
              <w:jc w:val="left"/>
              <w:rPr>
                <w:sz w:val="18"/>
                <w:szCs w:val="18"/>
              </w:rPr>
            </w:pPr>
            <w:r w:rsidRPr="00C95A79">
              <w:rPr>
                <w:sz w:val="18"/>
                <w:szCs w:val="18"/>
              </w:rPr>
              <w:t>Fundusze unijne, środki własne Parku NT</w:t>
            </w:r>
            <w:r>
              <w:rPr>
                <w:sz w:val="18"/>
                <w:szCs w:val="18"/>
              </w:rPr>
              <w:t>, opłaty od firm</w:t>
            </w:r>
          </w:p>
        </w:tc>
      </w:tr>
      <w:tr w:rsidR="00A7457A" w:rsidRPr="002B47D5" w:rsidTr="00CB47C4">
        <w:tc>
          <w:tcPr>
            <w:tcW w:w="2045" w:type="dxa"/>
          </w:tcPr>
          <w:p w:rsidR="00A7457A" w:rsidRDefault="00A7457A" w:rsidP="00CB47C4">
            <w:pPr>
              <w:jc w:val="both"/>
              <w:rPr>
                <w:sz w:val="18"/>
                <w:szCs w:val="18"/>
              </w:rPr>
            </w:pPr>
            <w:r>
              <w:rPr>
                <w:sz w:val="18"/>
                <w:szCs w:val="18"/>
              </w:rPr>
              <w:t>Wirtualne</w:t>
            </w:r>
            <w:r w:rsidRPr="006F58C8">
              <w:rPr>
                <w:sz w:val="18"/>
                <w:szCs w:val="18"/>
              </w:rPr>
              <w:t xml:space="preserve"> </w:t>
            </w:r>
            <w:proofErr w:type="spellStart"/>
            <w:r w:rsidRPr="006F58C8">
              <w:rPr>
                <w:sz w:val="18"/>
                <w:szCs w:val="18"/>
              </w:rPr>
              <w:t>biur</w:t>
            </w:r>
            <w:r>
              <w:rPr>
                <w:sz w:val="18"/>
                <w:szCs w:val="18"/>
              </w:rPr>
              <w:t>o</w:t>
            </w:r>
            <w:proofErr w:type="spellEnd"/>
          </w:p>
        </w:tc>
        <w:tc>
          <w:tcPr>
            <w:tcW w:w="2258" w:type="dxa"/>
          </w:tcPr>
          <w:p w:rsidR="00A7457A" w:rsidRPr="002B47D5" w:rsidRDefault="00A7457A" w:rsidP="00CB47C4">
            <w:pPr>
              <w:jc w:val="both"/>
              <w:rPr>
                <w:sz w:val="18"/>
                <w:szCs w:val="18"/>
              </w:rPr>
            </w:pPr>
            <w:r>
              <w:rPr>
                <w:sz w:val="18"/>
                <w:szCs w:val="18"/>
              </w:rPr>
              <w:t>Park NT</w:t>
            </w:r>
          </w:p>
        </w:tc>
        <w:tc>
          <w:tcPr>
            <w:tcW w:w="1812" w:type="dxa"/>
          </w:tcPr>
          <w:p w:rsidR="00A7457A" w:rsidRPr="002B47D5" w:rsidRDefault="00A7457A" w:rsidP="00CB47C4">
            <w:pPr>
              <w:jc w:val="both"/>
              <w:rPr>
                <w:sz w:val="18"/>
                <w:szCs w:val="18"/>
              </w:rPr>
            </w:pPr>
            <w:r>
              <w:rPr>
                <w:sz w:val="18"/>
                <w:szCs w:val="18"/>
              </w:rPr>
              <w:t>Przedsiębiorcy</w:t>
            </w:r>
          </w:p>
        </w:tc>
        <w:tc>
          <w:tcPr>
            <w:tcW w:w="1418" w:type="dxa"/>
          </w:tcPr>
          <w:p w:rsidR="00A7457A" w:rsidRPr="002B47D5" w:rsidRDefault="00786B8B" w:rsidP="00CB47C4">
            <w:pPr>
              <w:jc w:val="both"/>
              <w:rPr>
                <w:sz w:val="18"/>
                <w:szCs w:val="18"/>
              </w:rPr>
            </w:pPr>
            <w:r>
              <w:rPr>
                <w:sz w:val="18"/>
                <w:szCs w:val="18"/>
              </w:rPr>
              <w:t>-</w:t>
            </w:r>
          </w:p>
        </w:tc>
        <w:tc>
          <w:tcPr>
            <w:tcW w:w="1755" w:type="dxa"/>
          </w:tcPr>
          <w:p w:rsidR="00A7457A" w:rsidRDefault="00A7457A" w:rsidP="00CB47C4">
            <w:pPr>
              <w:jc w:val="left"/>
            </w:pPr>
            <w:r w:rsidRPr="00C95A79">
              <w:rPr>
                <w:sz w:val="18"/>
                <w:szCs w:val="18"/>
              </w:rPr>
              <w:t>Fundusze unijne, środki własne Parku NT</w:t>
            </w:r>
          </w:p>
        </w:tc>
      </w:tr>
    </w:tbl>
    <w:p w:rsidR="008B0ED2" w:rsidRDefault="008B0ED2" w:rsidP="00A7457A">
      <w:pPr>
        <w:pStyle w:val="Nagwek4"/>
        <w:rPr>
          <w:rFonts w:ascii="Calibri" w:eastAsiaTheme="minorHAnsi" w:hAnsi="Calibri" w:cs="Calibri"/>
          <w:b w:val="0"/>
          <w:bCs w:val="0"/>
          <w:i w:val="0"/>
          <w:iCs w:val="0"/>
          <w:color w:val="auto"/>
        </w:rPr>
      </w:pPr>
    </w:p>
    <w:p w:rsidR="00FC3E45" w:rsidRPr="00A7457A" w:rsidRDefault="00FC3E45" w:rsidP="00A7457A">
      <w:pPr>
        <w:pStyle w:val="Nagwek4"/>
        <w:rPr>
          <w:rFonts w:ascii="Calibri" w:hAnsi="Calibri" w:cs="Calibri"/>
        </w:rPr>
      </w:pPr>
      <w:r>
        <w:t>1.4.2.3. Promocja oferty Parku NT</w:t>
      </w:r>
    </w:p>
    <w:p w:rsidR="00AB5E37" w:rsidRDefault="00AB5E37" w:rsidP="00AB5E37">
      <w:pPr>
        <w:spacing w:line="240" w:lineRule="auto"/>
        <w:jc w:val="both"/>
      </w:pPr>
      <w:r>
        <w:t>W chwili obecnej w Polsce działa 68 Parków Naukowo-Technologicznych oraz Parków Przemysłowych</w:t>
      </w:r>
      <w:r w:rsidR="004858B5">
        <w:t xml:space="preserve"> posiadających </w:t>
      </w:r>
      <w:r>
        <w:t xml:space="preserve">bardzo zróżnicowane potencjały i możliwości rozwojowe. </w:t>
      </w:r>
      <w:r w:rsidRPr="003D2A28">
        <w:t xml:space="preserve">Każdy z parków posiada indywidualny charakter, wynikający </w:t>
      </w:r>
      <w:r w:rsidR="00213A5F">
        <w:t>z regionalnych uwarunkowań oraz dostępnych potencjałów rozwojowych</w:t>
      </w:r>
      <w:r w:rsidR="004858B5">
        <w:rPr>
          <w:rStyle w:val="Odwoanieprzypisudolnego"/>
        </w:rPr>
        <w:footnoteReference w:id="14"/>
      </w:r>
      <w:r w:rsidRPr="003D2A28">
        <w:t xml:space="preserve">. </w:t>
      </w:r>
    </w:p>
    <w:p w:rsidR="00AB5E37" w:rsidRDefault="00AB5E37" w:rsidP="00AB5E37">
      <w:pPr>
        <w:spacing w:line="240" w:lineRule="auto"/>
        <w:jc w:val="both"/>
      </w:pPr>
      <w:r>
        <w:t xml:space="preserve">Jedną ze strategii rozwojowych Parków NT w Polsce i w Europie jest strategia bazująca na infrastrukturze, która zakłada że punktem wyjścia dla utworzenia parku jest inwestycja w nieruchomości, ich modernizacja i rozwój, </w:t>
      </w:r>
      <w:r w:rsidRPr="002266DB">
        <w:rPr>
          <w:b/>
        </w:rPr>
        <w:t>a następnie intensywna promocja</w:t>
      </w:r>
      <w:r>
        <w:t xml:space="preserve"> w celu przyciągnięcia inwestorów </w:t>
      </w:r>
      <w:r>
        <w:rPr>
          <w:rStyle w:val="Odwoanieprzypisudolnego"/>
        </w:rPr>
        <w:footnoteReference w:id="15"/>
      </w:r>
      <w:r>
        <w:t xml:space="preserve">. Strategią tą podąża suwalski Park NT, który dysponuje już niezbędną infrastrukturą i wyposażeniem do przyjmowania kolejnych najemców. </w:t>
      </w:r>
      <w:r w:rsidR="002266DB">
        <w:t xml:space="preserve">W </w:t>
      </w:r>
      <w:r>
        <w:t xml:space="preserve">chwili obecnej szczególnie istotne będzie podjęcie intensywnych i </w:t>
      </w:r>
      <w:r w:rsidRPr="002266DB">
        <w:rPr>
          <w:b/>
        </w:rPr>
        <w:t>kompleksowych działań promocyjnych</w:t>
      </w:r>
      <w:r>
        <w:t xml:space="preserve">, które przyczynią się do podniesienia rozpoznawalności oferty Parku w kraju i zagranicą. </w:t>
      </w:r>
    </w:p>
    <w:p w:rsidR="00AB5E37" w:rsidRDefault="00AB5E37" w:rsidP="00AB5E37">
      <w:pPr>
        <w:spacing w:line="240" w:lineRule="auto"/>
        <w:jc w:val="both"/>
      </w:pPr>
      <w:r>
        <w:t>Wśród działań promocyjnych szczególnie istotne będą działania prowadzone na następujących poziomach:</w:t>
      </w:r>
    </w:p>
    <w:p w:rsidR="00AB5E37" w:rsidRDefault="00AB5E37" w:rsidP="00FE3FC5">
      <w:pPr>
        <w:pStyle w:val="Akapitzlist"/>
        <w:numPr>
          <w:ilvl w:val="0"/>
          <w:numId w:val="5"/>
        </w:numPr>
        <w:spacing w:line="240" w:lineRule="auto"/>
        <w:jc w:val="both"/>
      </w:pPr>
      <w:r w:rsidRPr="00CC3FE7">
        <w:rPr>
          <w:b/>
        </w:rPr>
        <w:t>Nagłośnienie oferty Parku wśród uczniów suwalskich szkół</w:t>
      </w:r>
      <w:r w:rsidRPr="00E02021">
        <w:t xml:space="preserve"> </w:t>
      </w:r>
      <w:proofErr w:type="spellStart"/>
      <w:r w:rsidRPr="00E02021">
        <w:t>ponadgimnazjalnych</w:t>
      </w:r>
      <w:proofErr w:type="spellEnd"/>
      <w:r w:rsidRPr="00E02021">
        <w:t xml:space="preserve"> i studentów szkół wyższych</w:t>
      </w:r>
      <w:r>
        <w:t>, przyszłych potencjalnych najemców infrastruktury pozostającej w dyspozycji Parku NT;</w:t>
      </w:r>
    </w:p>
    <w:p w:rsidR="00AB5E37" w:rsidRDefault="00AB5E37" w:rsidP="00FE3FC5">
      <w:pPr>
        <w:pStyle w:val="Akapitzlist"/>
        <w:numPr>
          <w:ilvl w:val="0"/>
          <w:numId w:val="5"/>
        </w:numPr>
        <w:spacing w:line="240" w:lineRule="auto"/>
        <w:jc w:val="both"/>
      </w:pPr>
      <w:r w:rsidRPr="00CC3FE7">
        <w:rPr>
          <w:b/>
        </w:rPr>
        <w:t>Udział w targach i wydarzeniach branżowych</w:t>
      </w:r>
      <w:r>
        <w:t xml:space="preserve"> (np. targi CEBIT w </w:t>
      </w:r>
      <w:proofErr w:type="spellStart"/>
      <w:r>
        <w:t>Hannowerze</w:t>
      </w:r>
      <w:proofErr w:type="spellEnd"/>
      <w:r>
        <w:t>);</w:t>
      </w:r>
    </w:p>
    <w:p w:rsidR="00AB5E37" w:rsidRDefault="00AB5E37" w:rsidP="00FE3FC5">
      <w:pPr>
        <w:pStyle w:val="Akapitzlist"/>
        <w:numPr>
          <w:ilvl w:val="0"/>
          <w:numId w:val="5"/>
        </w:numPr>
        <w:spacing w:line="240" w:lineRule="auto"/>
        <w:jc w:val="both"/>
      </w:pPr>
      <w:r w:rsidRPr="00CC3FE7">
        <w:rPr>
          <w:b/>
        </w:rPr>
        <w:t xml:space="preserve">Promocja poprzez stronę </w:t>
      </w:r>
      <w:proofErr w:type="spellStart"/>
      <w:r w:rsidRPr="00CC3FE7">
        <w:rPr>
          <w:b/>
        </w:rPr>
        <w:t>www</w:t>
      </w:r>
      <w:proofErr w:type="spellEnd"/>
      <w:r>
        <w:t>;</w:t>
      </w:r>
    </w:p>
    <w:p w:rsidR="00AB5E37" w:rsidRDefault="00AB5E37" w:rsidP="00FE3FC5">
      <w:pPr>
        <w:pStyle w:val="Akapitzlist"/>
        <w:numPr>
          <w:ilvl w:val="0"/>
          <w:numId w:val="5"/>
        </w:numPr>
        <w:spacing w:after="0" w:line="240" w:lineRule="auto"/>
        <w:jc w:val="both"/>
      </w:pPr>
      <w:r w:rsidRPr="00CC3FE7">
        <w:rPr>
          <w:b/>
        </w:rPr>
        <w:t>Promocja zorientowana na rozwój turystyki kongresowej</w:t>
      </w:r>
      <w:r>
        <w:t xml:space="preserve"> (udział w targach, promocja bezpośrednia wśród przedstawicie</w:t>
      </w:r>
      <w:r w:rsidR="00786B8B">
        <w:t>li samorządów zawodowych, etc.);</w:t>
      </w:r>
    </w:p>
    <w:p w:rsidR="003E7C53" w:rsidRDefault="003E7C53" w:rsidP="00FE3FC5">
      <w:pPr>
        <w:pStyle w:val="Akapitzlist"/>
        <w:numPr>
          <w:ilvl w:val="0"/>
          <w:numId w:val="5"/>
        </w:numPr>
        <w:spacing w:after="0" w:line="240" w:lineRule="auto"/>
        <w:jc w:val="both"/>
      </w:pPr>
      <w:r w:rsidRPr="003E7C53">
        <w:rPr>
          <w:b/>
        </w:rPr>
        <w:t>Przygotowanie i przeprowadzenie kampanii promującej potencjał Parku</w:t>
      </w:r>
      <w:r w:rsidRPr="003E7C53">
        <w:t xml:space="preserve"> w zakr</w:t>
      </w:r>
      <w:r>
        <w:t>esie: możliwości współpracy z MŚ</w:t>
      </w:r>
      <w:r w:rsidRPr="003E7C53">
        <w:t>P, usług kierowanych do grup doce</w:t>
      </w:r>
      <w:r>
        <w:t>lowych, możliwości laboratoriów.</w:t>
      </w:r>
    </w:p>
    <w:p w:rsidR="00AB5E37" w:rsidRDefault="00AB5E37" w:rsidP="00AB5E37">
      <w:pPr>
        <w:spacing w:after="0" w:line="240" w:lineRule="auto"/>
        <w:ind w:left="360"/>
        <w:jc w:val="both"/>
      </w:pPr>
    </w:p>
    <w:p w:rsidR="00706B7F" w:rsidRPr="000B32F8" w:rsidRDefault="00AB5E37" w:rsidP="000B32F8">
      <w:pPr>
        <w:spacing w:after="0" w:line="240" w:lineRule="auto"/>
        <w:jc w:val="both"/>
      </w:pPr>
      <w:r w:rsidRPr="00FC10DE">
        <w:t>Aktywna promocja ma służyć realizacji optymalnego scenariusza rozwojowego Parku NT, w którym następuje koncentracja na budowie kolejnych funkcji „parkowych”</w:t>
      </w:r>
      <w:r w:rsidR="00786B8B" w:rsidRPr="00FC10DE">
        <w:t>,</w:t>
      </w:r>
      <w:r w:rsidRPr="00FC10DE">
        <w:t xml:space="preserve"> tj. inkubacji, przyspieszaniu rozwoju przedsięwzięć innowacyjnych oraz szeroko pojętych usług dla biznesu. Istotnym zagrożeniem dla realizacji takiego scenariusza będzie sprowadzenie Parku do roli parku biznesu nie różniącego się</w:t>
      </w:r>
      <w:r>
        <w:t xml:space="preserve"> niczym od wielu funkcjonujących prywatnych inicjatyw tego typu</w:t>
      </w:r>
      <w:r w:rsidR="005451A8">
        <w:t xml:space="preserve">, skupiającego się na usługach biurowych i wynajmie powierzchni biurowej i produkcyjnej </w:t>
      </w:r>
      <w:r>
        <w:rPr>
          <w:rStyle w:val="Odwoanieprzypisudolnego"/>
        </w:rPr>
        <w:footnoteReference w:id="16"/>
      </w:r>
      <w:r>
        <w:t xml:space="preserve">. </w:t>
      </w:r>
    </w:p>
    <w:p w:rsidR="00706B7F" w:rsidRPr="00E140F4" w:rsidRDefault="00706B7F" w:rsidP="00AB5E37">
      <w:pPr>
        <w:autoSpaceDE w:val="0"/>
        <w:autoSpaceDN w:val="0"/>
        <w:adjustRightInd w:val="0"/>
        <w:spacing w:after="0" w:line="240" w:lineRule="auto"/>
        <w:jc w:val="both"/>
        <w:rPr>
          <w:rFonts w:eastAsia="Times New Roman" w:cs="Times New Roman"/>
          <w:lang w:eastAsia="pl-PL"/>
        </w:rPr>
      </w:pPr>
    </w:p>
    <w:tbl>
      <w:tblPr>
        <w:tblStyle w:val="Tabela-Siatka"/>
        <w:tblW w:w="0" w:type="auto"/>
        <w:tblLook w:val="04A0"/>
      </w:tblPr>
      <w:tblGrid>
        <w:gridCol w:w="2045"/>
        <w:gridCol w:w="2258"/>
        <w:gridCol w:w="1812"/>
        <w:gridCol w:w="1418"/>
        <w:gridCol w:w="1755"/>
      </w:tblGrid>
      <w:tr w:rsidR="00AB5E37" w:rsidRPr="002B47D5" w:rsidTr="00ED3014">
        <w:tc>
          <w:tcPr>
            <w:tcW w:w="2045" w:type="dxa"/>
            <w:shd w:val="clear" w:color="auto" w:fill="4F81BD" w:themeFill="accent1"/>
          </w:tcPr>
          <w:p w:rsidR="00AB5E37" w:rsidRPr="002B47D5" w:rsidRDefault="00AB5E37" w:rsidP="00ED3014">
            <w:pPr>
              <w:rPr>
                <w:color w:val="FFFFFF" w:themeColor="background1"/>
                <w:sz w:val="18"/>
                <w:szCs w:val="18"/>
              </w:rPr>
            </w:pPr>
            <w:r>
              <w:rPr>
                <w:color w:val="FFFFFF" w:themeColor="background1"/>
                <w:sz w:val="18"/>
                <w:szCs w:val="18"/>
              </w:rPr>
              <w:t>Działanie</w:t>
            </w:r>
          </w:p>
        </w:tc>
        <w:tc>
          <w:tcPr>
            <w:tcW w:w="2258" w:type="dxa"/>
            <w:shd w:val="clear" w:color="auto" w:fill="4F81BD" w:themeFill="accent1"/>
          </w:tcPr>
          <w:p w:rsidR="00AB5E37" w:rsidRPr="002B47D5" w:rsidRDefault="00AB5E37" w:rsidP="00ED3014">
            <w:pPr>
              <w:rPr>
                <w:color w:val="FFFFFF" w:themeColor="background1"/>
                <w:sz w:val="18"/>
                <w:szCs w:val="18"/>
              </w:rPr>
            </w:pPr>
            <w:r>
              <w:rPr>
                <w:color w:val="FFFFFF" w:themeColor="background1"/>
                <w:sz w:val="18"/>
                <w:szCs w:val="18"/>
              </w:rPr>
              <w:t>Podmioty odpowiedzialne</w:t>
            </w:r>
          </w:p>
        </w:tc>
        <w:tc>
          <w:tcPr>
            <w:tcW w:w="1812" w:type="dxa"/>
            <w:shd w:val="clear" w:color="auto" w:fill="4F81BD" w:themeFill="accent1"/>
          </w:tcPr>
          <w:p w:rsidR="00AB5E37" w:rsidRPr="002B47D5" w:rsidRDefault="00AB5E37" w:rsidP="00ED3014">
            <w:pPr>
              <w:rPr>
                <w:color w:val="FFFFFF" w:themeColor="background1"/>
                <w:sz w:val="18"/>
                <w:szCs w:val="18"/>
              </w:rPr>
            </w:pPr>
            <w:r>
              <w:rPr>
                <w:color w:val="FFFFFF" w:themeColor="background1"/>
                <w:sz w:val="18"/>
                <w:szCs w:val="18"/>
              </w:rPr>
              <w:t>Grupy docelowe</w:t>
            </w:r>
          </w:p>
        </w:tc>
        <w:tc>
          <w:tcPr>
            <w:tcW w:w="1418" w:type="dxa"/>
            <w:shd w:val="clear" w:color="auto" w:fill="4F81BD" w:themeFill="accent1"/>
          </w:tcPr>
          <w:p w:rsidR="00AB5E37" w:rsidRDefault="00AB5E37" w:rsidP="00ED3014">
            <w:pPr>
              <w:rPr>
                <w:color w:val="FFFFFF" w:themeColor="background1"/>
                <w:sz w:val="18"/>
                <w:szCs w:val="18"/>
              </w:rPr>
            </w:pPr>
            <w:r>
              <w:rPr>
                <w:color w:val="FFFFFF" w:themeColor="background1"/>
                <w:sz w:val="18"/>
                <w:szCs w:val="18"/>
              </w:rPr>
              <w:t>Koszt</w:t>
            </w:r>
          </w:p>
        </w:tc>
        <w:tc>
          <w:tcPr>
            <w:tcW w:w="1755" w:type="dxa"/>
            <w:shd w:val="clear" w:color="auto" w:fill="4F81BD" w:themeFill="accent1"/>
          </w:tcPr>
          <w:p w:rsidR="00AB5E37" w:rsidRPr="002B47D5" w:rsidRDefault="00AB5E37" w:rsidP="00ED3014">
            <w:pPr>
              <w:rPr>
                <w:color w:val="FFFFFF" w:themeColor="background1"/>
                <w:sz w:val="18"/>
                <w:szCs w:val="18"/>
              </w:rPr>
            </w:pPr>
            <w:r>
              <w:rPr>
                <w:color w:val="FFFFFF" w:themeColor="background1"/>
                <w:sz w:val="18"/>
                <w:szCs w:val="18"/>
              </w:rPr>
              <w:t>Źródła finansowania</w:t>
            </w:r>
          </w:p>
        </w:tc>
      </w:tr>
      <w:tr w:rsidR="002266DB" w:rsidRPr="002B47D5" w:rsidTr="00ED3014">
        <w:tc>
          <w:tcPr>
            <w:tcW w:w="2045" w:type="dxa"/>
          </w:tcPr>
          <w:p w:rsidR="002266DB" w:rsidRPr="005152A0" w:rsidRDefault="009C0191" w:rsidP="00ED3014">
            <w:pPr>
              <w:jc w:val="both"/>
              <w:rPr>
                <w:sz w:val="18"/>
                <w:szCs w:val="18"/>
              </w:rPr>
            </w:pPr>
            <w:r w:rsidRPr="009C0191">
              <w:rPr>
                <w:sz w:val="18"/>
                <w:szCs w:val="18"/>
              </w:rPr>
              <w:t>Nagłośnienie oferty Parku wśród uczniów</w:t>
            </w:r>
          </w:p>
        </w:tc>
        <w:tc>
          <w:tcPr>
            <w:tcW w:w="2258" w:type="dxa"/>
          </w:tcPr>
          <w:p w:rsidR="002266DB" w:rsidRPr="002B47D5" w:rsidRDefault="002266DB" w:rsidP="00ED3014">
            <w:pPr>
              <w:jc w:val="both"/>
              <w:rPr>
                <w:sz w:val="18"/>
                <w:szCs w:val="18"/>
              </w:rPr>
            </w:pPr>
            <w:r>
              <w:rPr>
                <w:sz w:val="18"/>
                <w:szCs w:val="18"/>
              </w:rPr>
              <w:t>Park NT</w:t>
            </w:r>
          </w:p>
        </w:tc>
        <w:tc>
          <w:tcPr>
            <w:tcW w:w="1812" w:type="dxa"/>
          </w:tcPr>
          <w:p w:rsidR="002266DB" w:rsidRPr="002B47D5" w:rsidRDefault="00AD6802" w:rsidP="00ED3014">
            <w:pPr>
              <w:jc w:val="both"/>
              <w:rPr>
                <w:sz w:val="18"/>
                <w:szCs w:val="18"/>
              </w:rPr>
            </w:pPr>
            <w:r>
              <w:rPr>
                <w:sz w:val="18"/>
                <w:szCs w:val="18"/>
              </w:rPr>
              <w:t>Potencjalni przyszli p</w:t>
            </w:r>
            <w:r w:rsidR="002266DB">
              <w:rPr>
                <w:sz w:val="18"/>
                <w:szCs w:val="18"/>
              </w:rPr>
              <w:t>rzedsiębiorcy</w:t>
            </w:r>
          </w:p>
        </w:tc>
        <w:tc>
          <w:tcPr>
            <w:tcW w:w="1418" w:type="dxa"/>
          </w:tcPr>
          <w:p w:rsidR="002266DB" w:rsidRPr="002B47D5" w:rsidRDefault="00FC10DE" w:rsidP="00ED3014">
            <w:pPr>
              <w:jc w:val="both"/>
              <w:rPr>
                <w:sz w:val="18"/>
                <w:szCs w:val="18"/>
              </w:rPr>
            </w:pPr>
            <w:r>
              <w:rPr>
                <w:sz w:val="18"/>
                <w:szCs w:val="18"/>
              </w:rPr>
              <w:t>-</w:t>
            </w:r>
          </w:p>
        </w:tc>
        <w:tc>
          <w:tcPr>
            <w:tcW w:w="1755" w:type="dxa"/>
          </w:tcPr>
          <w:p w:rsidR="002266DB" w:rsidRDefault="002266DB" w:rsidP="002266DB">
            <w:pPr>
              <w:jc w:val="left"/>
            </w:pPr>
            <w:r w:rsidRPr="00C95A79">
              <w:rPr>
                <w:sz w:val="18"/>
                <w:szCs w:val="18"/>
              </w:rPr>
              <w:t>Fundusze unijne, środki własne Parku NT</w:t>
            </w:r>
          </w:p>
        </w:tc>
      </w:tr>
      <w:tr w:rsidR="009C0191" w:rsidRPr="002B47D5" w:rsidTr="00ED3014">
        <w:tc>
          <w:tcPr>
            <w:tcW w:w="2045" w:type="dxa"/>
          </w:tcPr>
          <w:p w:rsidR="009C0191" w:rsidRPr="009C0191" w:rsidRDefault="009C0191" w:rsidP="00ED3014">
            <w:pPr>
              <w:jc w:val="both"/>
              <w:rPr>
                <w:sz w:val="18"/>
                <w:szCs w:val="18"/>
              </w:rPr>
            </w:pPr>
            <w:r w:rsidRPr="009C0191">
              <w:rPr>
                <w:sz w:val="18"/>
                <w:szCs w:val="18"/>
              </w:rPr>
              <w:t>Udział w targach i wydarzeniach branżowych</w:t>
            </w:r>
          </w:p>
        </w:tc>
        <w:tc>
          <w:tcPr>
            <w:tcW w:w="2258" w:type="dxa"/>
          </w:tcPr>
          <w:p w:rsidR="009C0191" w:rsidRPr="002B47D5" w:rsidRDefault="009C0191" w:rsidP="00ED3014">
            <w:pPr>
              <w:jc w:val="both"/>
              <w:rPr>
                <w:sz w:val="18"/>
                <w:szCs w:val="18"/>
              </w:rPr>
            </w:pPr>
            <w:r>
              <w:rPr>
                <w:sz w:val="18"/>
                <w:szCs w:val="18"/>
              </w:rPr>
              <w:t>Park NT</w:t>
            </w:r>
          </w:p>
        </w:tc>
        <w:tc>
          <w:tcPr>
            <w:tcW w:w="1812" w:type="dxa"/>
          </w:tcPr>
          <w:p w:rsidR="009C0191" w:rsidRPr="002B47D5" w:rsidRDefault="009C0191" w:rsidP="00ED3014">
            <w:pPr>
              <w:jc w:val="both"/>
              <w:rPr>
                <w:sz w:val="18"/>
                <w:szCs w:val="18"/>
              </w:rPr>
            </w:pPr>
            <w:r>
              <w:rPr>
                <w:sz w:val="18"/>
                <w:szCs w:val="18"/>
              </w:rPr>
              <w:t>Przedsiębiorcy</w:t>
            </w:r>
          </w:p>
        </w:tc>
        <w:tc>
          <w:tcPr>
            <w:tcW w:w="1418" w:type="dxa"/>
          </w:tcPr>
          <w:p w:rsidR="009C0191" w:rsidRPr="002B47D5" w:rsidRDefault="00FC10DE" w:rsidP="00ED3014">
            <w:pPr>
              <w:jc w:val="both"/>
              <w:rPr>
                <w:sz w:val="18"/>
                <w:szCs w:val="18"/>
              </w:rPr>
            </w:pPr>
            <w:r>
              <w:rPr>
                <w:sz w:val="18"/>
                <w:szCs w:val="18"/>
              </w:rPr>
              <w:t>40.000 zł/rok</w:t>
            </w:r>
            <w:r>
              <w:rPr>
                <w:rStyle w:val="Odwoanieprzypisudolnego"/>
                <w:sz w:val="18"/>
                <w:szCs w:val="18"/>
              </w:rPr>
              <w:footnoteReference w:id="17"/>
            </w:r>
          </w:p>
        </w:tc>
        <w:tc>
          <w:tcPr>
            <w:tcW w:w="1755" w:type="dxa"/>
          </w:tcPr>
          <w:p w:rsidR="009C0191" w:rsidRDefault="009C0191" w:rsidP="00ED3014">
            <w:pPr>
              <w:jc w:val="left"/>
            </w:pPr>
            <w:r w:rsidRPr="00C95A79">
              <w:rPr>
                <w:sz w:val="18"/>
                <w:szCs w:val="18"/>
              </w:rPr>
              <w:t>Fundusze unijne, środki własne Parku NT</w:t>
            </w:r>
          </w:p>
        </w:tc>
      </w:tr>
      <w:tr w:rsidR="009C0191" w:rsidRPr="002B47D5" w:rsidTr="00ED3014">
        <w:tc>
          <w:tcPr>
            <w:tcW w:w="2045" w:type="dxa"/>
          </w:tcPr>
          <w:p w:rsidR="009C0191" w:rsidRPr="009C0191" w:rsidRDefault="009C0191" w:rsidP="00ED3014">
            <w:pPr>
              <w:jc w:val="both"/>
              <w:rPr>
                <w:sz w:val="18"/>
                <w:szCs w:val="18"/>
              </w:rPr>
            </w:pPr>
            <w:r w:rsidRPr="009C0191">
              <w:rPr>
                <w:sz w:val="18"/>
                <w:szCs w:val="18"/>
              </w:rPr>
              <w:t xml:space="preserve">Promocja poprzez stronę </w:t>
            </w:r>
            <w:proofErr w:type="spellStart"/>
            <w:r w:rsidRPr="009C0191">
              <w:rPr>
                <w:sz w:val="18"/>
                <w:szCs w:val="18"/>
              </w:rPr>
              <w:t>www</w:t>
            </w:r>
            <w:proofErr w:type="spellEnd"/>
          </w:p>
        </w:tc>
        <w:tc>
          <w:tcPr>
            <w:tcW w:w="2258" w:type="dxa"/>
          </w:tcPr>
          <w:p w:rsidR="009C0191" w:rsidRPr="002B47D5" w:rsidRDefault="009C0191" w:rsidP="00ED3014">
            <w:pPr>
              <w:jc w:val="both"/>
              <w:rPr>
                <w:sz w:val="18"/>
                <w:szCs w:val="18"/>
              </w:rPr>
            </w:pPr>
            <w:r>
              <w:rPr>
                <w:sz w:val="18"/>
                <w:szCs w:val="18"/>
              </w:rPr>
              <w:t>Park NT</w:t>
            </w:r>
          </w:p>
        </w:tc>
        <w:tc>
          <w:tcPr>
            <w:tcW w:w="1812" w:type="dxa"/>
          </w:tcPr>
          <w:p w:rsidR="009C0191" w:rsidRPr="002B47D5" w:rsidRDefault="009C0191" w:rsidP="00ED3014">
            <w:pPr>
              <w:jc w:val="both"/>
              <w:rPr>
                <w:sz w:val="18"/>
                <w:szCs w:val="18"/>
              </w:rPr>
            </w:pPr>
            <w:r>
              <w:rPr>
                <w:sz w:val="18"/>
                <w:szCs w:val="18"/>
              </w:rPr>
              <w:t>Przedsiębiorcy</w:t>
            </w:r>
          </w:p>
        </w:tc>
        <w:tc>
          <w:tcPr>
            <w:tcW w:w="1418" w:type="dxa"/>
          </w:tcPr>
          <w:p w:rsidR="009C0191" w:rsidRPr="002B47D5" w:rsidRDefault="00FC10DE" w:rsidP="00ED3014">
            <w:pPr>
              <w:jc w:val="both"/>
              <w:rPr>
                <w:sz w:val="18"/>
                <w:szCs w:val="18"/>
              </w:rPr>
            </w:pPr>
            <w:r>
              <w:rPr>
                <w:sz w:val="18"/>
                <w:szCs w:val="18"/>
              </w:rPr>
              <w:t>-</w:t>
            </w:r>
          </w:p>
        </w:tc>
        <w:tc>
          <w:tcPr>
            <w:tcW w:w="1755" w:type="dxa"/>
          </w:tcPr>
          <w:p w:rsidR="009C0191" w:rsidRDefault="009C0191" w:rsidP="00ED3014">
            <w:pPr>
              <w:jc w:val="left"/>
            </w:pPr>
            <w:r w:rsidRPr="00C95A79">
              <w:rPr>
                <w:sz w:val="18"/>
                <w:szCs w:val="18"/>
              </w:rPr>
              <w:t>Fundusze unijne, środki własne Parku NT</w:t>
            </w:r>
          </w:p>
        </w:tc>
      </w:tr>
      <w:tr w:rsidR="009C0191" w:rsidRPr="002B47D5" w:rsidTr="00ED3014">
        <w:tc>
          <w:tcPr>
            <w:tcW w:w="2045" w:type="dxa"/>
          </w:tcPr>
          <w:p w:rsidR="009C0191" w:rsidRPr="009C0191" w:rsidRDefault="009C0191" w:rsidP="009C0191">
            <w:pPr>
              <w:jc w:val="both"/>
              <w:rPr>
                <w:sz w:val="18"/>
                <w:szCs w:val="18"/>
              </w:rPr>
            </w:pPr>
            <w:r w:rsidRPr="009C0191">
              <w:rPr>
                <w:sz w:val="18"/>
                <w:szCs w:val="18"/>
              </w:rPr>
              <w:t xml:space="preserve">Promocja </w:t>
            </w:r>
            <w:r>
              <w:rPr>
                <w:sz w:val="18"/>
                <w:szCs w:val="18"/>
              </w:rPr>
              <w:t xml:space="preserve">oferty </w:t>
            </w:r>
            <w:r w:rsidRPr="009C0191">
              <w:rPr>
                <w:sz w:val="18"/>
                <w:szCs w:val="18"/>
              </w:rPr>
              <w:t>kongresowej</w:t>
            </w:r>
          </w:p>
        </w:tc>
        <w:tc>
          <w:tcPr>
            <w:tcW w:w="2258" w:type="dxa"/>
          </w:tcPr>
          <w:p w:rsidR="009C0191" w:rsidRPr="002B47D5" w:rsidRDefault="009C0191" w:rsidP="00ED3014">
            <w:pPr>
              <w:jc w:val="both"/>
              <w:rPr>
                <w:sz w:val="18"/>
                <w:szCs w:val="18"/>
              </w:rPr>
            </w:pPr>
            <w:r>
              <w:rPr>
                <w:sz w:val="18"/>
                <w:szCs w:val="18"/>
              </w:rPr>
              <w:t>Park NT</w:t>
            </w:r>
          </w:p>
        </w:tc>
        <w:tc>
          <w:tcPr>
            <w:tcW w:w="1812" w:type="dxa"/>
          </w:tcPr>
          <w:p w:rsidR="009C0191" w:rsidRPr="002B47D5" w:rsidRDefault="009C0191" w:rsidP="00ED3014">
            <w:pPr>
              <w:jc w:val="both"/>
              <w:rPr>
                <w:sz w:val="18"/>
                <w:szCs w:val="18"/>
              </w:rPr>
            </w:pPr>
            <w:r>
              <w:rPr>
                <w:sz w:val="18"/>
                <w:szCs w:val="18"/>
              </w:rPr>
              <w:t>Przedsiębiorcy</w:t>
            </w:r>
          </w:p>
        </w:tc>
        <w:tc>
          <w:tcPr>
            <w:tcW w:w="1418" w:type="dxa"/>
          </w:tcPr>
          <w:p w:rsidR="009C0191" w:rsidRPr="002B47D5" w:rsidRDefault="00FC10DE" w:rsidP="00ED3014">
            <w:pPr>
              <w:jc w:val="both"/>
              <w:rPr>
                <w:sz w:val="18"/>
                <w:szCs w:val="18"/>
              </w:rPr>
            </w:pPr>
            <w:r>
              <w:rPr>
                <w:sz w:val="18"/>
                <w:szCs w:val="18"/>
              </w:rPr>
              <w:t>-</w:t>
            </w:r>
          </w:p>
        </w:tc>
        <w:tc>
          <w:tcPr>
            <w:tcW w:w="1755" w:type="dxa"/>
          </w:tcPr>
          <w:p w:rsidR="009C0191" w:rsidRDefault="009C0191" w:rsidP="00ED3014">
            <w:pPr>
              <w:jc w:val="left"/>
            </w:pPr>
            <w:r w:rsidRPr="00C95A79">
              <w:rPr>
                <w:sz w:val="18"/>
                <w:szCs w:val="18"/>
              </w:rPr>
              <w:t>Fundusze unijne, środki własne Parku NT</w:t>
            </w:r>
          </w:p>
        </w:tc>
      </w:tr>
      <w:tr w:rsidR="003E7C53" w:rsidRPr="002B47D5" w:rsidTr="00ED3014">
        <w:tc>
          <w:tcPr>
            <w:tcW w:w="2045" w:type="dxa"/>
          </w:tcPr>
          <w:p w:rsidR="003E7C53" w:rsidRPr="009C0191" w:rsidRDefault="003E7C53" w:rsidP="00152C09">
            <w:pPr>
              <w:jc w:val="both"/>
              <w:rPr>
                <w:sz w:val="18"/>
                <w:szCs w:val="18"/>
              </w:rPr>
            </w:pPr>
            <w:r>
              <w:rPr>
                <w:sz w:val="18"/>
                <w:szCs w:val="18"/>
              </w:rPr>
              <w:t>Przygotowanie i przeprowadzenie kampanii promującej potencjał Parku w zakresie: możliwości współpracy z MSP, usług kierowanych do grup docelowych, możliwości laboratoriów,</w:t>
            </w:r>
          </w:p>
        </w:tc>
        <w:tc>
          <w:tcPr>
            <w:tcW w:w="2258" w:type="dxa"/>
          </w:tcPr>
          <w:p w:rsidR="003E7C53" w:rsidRDefault="003E7C53" w:rsidP="00152C09">
            <w:pPr>
              <w:jc w:val="both"/>
              <w:rPr>
                <w:sz w:val="18"/>
                <w:szCs w:val="18"/>
              </w:rPr>
            </w:pPr>
            <w:r>
              <w:rPr>
                <w:sz w:val="18"/>
                <w:szCs w:val="18"/>
              </w:rPr>
              <w:t>Park NT</w:t>
            </w:r>
          </w:p>
        </w:tc>
        <w:tc>
          <w:tcPr>
            <w:tcW w:w="1812" w:type="dxa"/>
          </w:tcPr>
          <w:p w:rsidR="003E7C53" w:rsidRDefault="003E7C53" w:rsidP="00152C09">
            <w:pPr>
              <w:jc w:val="both"/>
              <w:rPr>
                <w:sz w:val="18"/>
                <w:szCs w:val="18"/>
              </w:rPr>
            </w:pPr>
            <w:r>
              <w:rPr>
                <w:sz w:val="18"/>
                <w:szCs w:val="18"/>
              </w:rPr>
              <w:t>Firmy z właściwych sektorów; ośrodki badań, uczelnie, instytuty badawcze</w:t>
            </w:r>
          </w:p>
        </w:tc>
        <w:tc>
          <w:tcPr>
            <w:tcW w:w="1418" w:type="dxa"/>
          </w:tcPr>
          <w:p w:rsidR="003E7C53" w:rsidRPr="002B47D5" w:rsidRDefault="003E7C53" w:rsidP="00152C09">
            <w:pPr>
              <w:jc w:val="both"/>
              <w:rPr>
                <w:sz w:val="18"/>
                <w:szCs w:val="18"/>
              </w:rPr>
            </w:pPr>
            <w:r>
              <w:rPr>
                <w:sz w:val="18"/>
                <w:szCs w:val="18"/>
              </w:rPr>
              <w:t>-</w:t>
            </w:r>
          </w:p>
        </w:tc>
        <w:tc>
          <w:tcPr>
            <w:tcW w:w="1755" w:type="dxa"/>
          </w:tcPr>
          <w:p w:rsidR="003E7C53" w:rsidRPr="00C95A79" w:rsidRDefault="003E7C53" w:rsidP="003E7C53">
            <w:pPr>
              <w:jc w:val="both"/>
              <w:rPr>
                <w:sz w:val="18"/>
                <w:szCs w:val="18"/>
              </w:rPr>
            </w:pPr>
            <w:r>
              <w:rPr>
                <w:sz w:val="18"/>
                <w:szCs w:val="18"/>
              </w:rPr>
              <w:t>Fundusze unijne, instrumenty zwrotne, środki własne</w:t>
            </w:r>
          </w:p>
        </w:tc>
      </w:tr>
    </w:tbl>
    <w:p w:rsidR="00BC1C74" w:rsidRDefault="00BC1C74" w:rsidP="00FC3E45">
      <w:pPr>
        <w:pStyle w:val="Nagwek3"/>
      </w:pPr>
    </w:p>
    <w:p w:rsidR="00BC1C74" w:rsidRDefault="00BC1C74" w:rsidP="00BC1C74"/>
    <w:p w:rsidR="00E502B3" w:rsidRPr="00BC1C74" w:rsidRDefault="00E502B3" w:rsidP="00BC1C74"/>
    <w:p w:rsidR="00FC3E45" w:rsidRPr="00FC3E45" w:rsidRDefault="00FC3E45" w:rsidP="00FC3E45">
      <w:pPr>
        <w:pStyle w:val="Nagwek3"/>
      </w:pPr>
      <w:bookmarkStart w:id="45" w:name="_Toc390759496"/>
      <w:r>
        <w:t>1.4.3. Kształtowanie</w:t>
      </w:r>
      <w:r w:rsidRPr="00FC3E45">
        <w:t xml:space="preserve"> postaw przedsiębiorczych</w:t>
      </w:r>
      <w:bookmarkEnd w:id="45"/>
    </w:p>
    <w:p w:rsidR="00602724" w:rsidRDefault="00BE2393" w:rsidP="00602724">
      <w:pPr>
        <w:autoSpaceDE w:val="0"/>
        <w:autoSpaceDN w:val="0"/>
        <w:adjustRightInd w:val="0"/>
        <w:spacing w:after="0" w:line="240" w:lineRule="auto"/>
        <w:jc w:val="both"/>
        <w:rPr>
          <w:rFonts w:cs="Calibri-Bold"/>
          <w:bCs/>
        </w:rPr>
      </w:pPr>
      <w:r>
        <w:t xml:space="preserve">Oprócz </w:t>
      </w:r>
      <w:r w:rsidR="00602724">
        <w:t>ró</w:t>
      </w:r>
      <w:r>
        <w:t xml:space="preserve">żnego rodzaju działań skierowanych bezpośrednio do biznesu, władze Miasta zamierzają </w:t>
      </w:r>
      <w:r w:rsidRPr="00BE2393">
        <w:rPr>
          <w:b/>
        </w:rPr>
        <w:t>wspierać rozwój programów edukacyjnych dotyczących kształtowania postaw przedsiębiorczych</w:t>
      </w:r>
      <w:r>
        <w:t>.</w:t>
      </w:r>
      <w:r w:rsidR="00602724" w:rsidRPr="00602724">
        <w:rPr>
          <w:rFonts w:cs="Calibri-Bold"/>
          <w:bCs/>
        </w:rPr>
        <w:t xml:space="preserve"> </w:t>
      </w:r>
    </w:p>
    <w:p w:rsidR="00602724" w:rsidRDefault="00602724" w:rsidP="00602724">
      <w:pPr>
        <w:autoSpaceDE w:val="0"/>
        <w:autoSpaceDN w:val="0"/>
        <w:adjustRightInd w:val="0"/>
        <w:spacing w:after="0" w:line="240" w:lineRule="auto"/>
        <w:jc w:val="both"/>
        <w:rPr>
          <w:rFonts w:cs="Calibri-Bold"/>
          <w:bCs/>
        </w:rPr>
      </w:pPr>
    </w:p>
    <w:p w:rsidR="00602724" w:rsidRDefault="00602724" w:rsidP="00602724">
      <w:pPr>
        <w:autoSpaceDE w:val="0"/>
        <w:autoSpaceDN w:val="0"/>
        <w:adjustRightInd w:val="0"/>
        <w:spacing w:after="0" w:line="240" w:lineRule="auto"/>
        <w:jc w:val="both"/>
        <w:rPr>
          <w:rFonts w:cs="Calibri-Bold"/>
          <w:bCs/>
        </w:rPr>
      </w:pPr>
      <w:r>
        <w:rPr>
          <w:rFonts w:cs="Calibri-Bold"/>
          <w:bCs/>
        </w:rPr>
        <w:t xml:space="preserve">Zgodnie ze stwierdzeniem autorów „Strategii Rozwoju Kapitału Ludzkiego do roku 2020” (Ministerstwo Pracy i Polityki Społecznej, Warszawa, czerwiec 2013 r.): „W dyskusjach o roli edukacji (kształcenia i szkolenia) w społeczeństwie należy pamiętać, że oprócz zdolności adaptacji do zmieniających się warunków na rynku pracy albo uzyskania i zachowania zatrudnienia, ważnym efektem edukacji powinna być zdolność zmieniania tych warunków (innowacyjności). Edukacja nie służy tylko wypełnianiu miejsc pracy, </w:t>
      </w:r>
      <w:r w:rsidRPr="00893388">
        <w:rPr>
          <w:rFonts w:cs="Calibri-Bold"/>
          <w:b/>
          <w:bCs/>
        </w:rPr>
        <w:t>ale też ich tworzeniu</w:t>
      </w:r>
      <w:r>
        <w:rPr>
          <w:rFonts w:cs="Calibri-Bold"/>
          <w:bCs/>
        </w:rPr>
        <w:t xml:space="preserve">. Szczególnie istotne jest tu pobudzanie </w:t>
      </w:r>
      <w:r w:rsidRPr="00893388">
        <w:rPr>
          <w:rFonts w:cs="Calibri-Bold"/>
          <w:b/>
          <w:bCs/>
        </w:rPr>
        <w:t>kreatywności</w:t>
      </w:r>
      <w:r>
        <w:rPr>
          <w:rFonts w:cs="Calibri-Bold"/>
          <w:bCs/>
        </w:rPr>
        <w:t xml:space="preserve">, w tym </w:t>
      </w:r>
      <w:r w:rsidRPr="00893388">
        <w:rPr>
          <w:rFonts w:cs="Calibri-Bold"/>
          <w:b/>
          <w:bCs/>
        </w:rPr>
        <w:t>własnej przedsiębiorczości</w:t>
      </w:r>
      <w:r>
        <w:rPr>
          <w:rFonts w:cs="Calibri-Bold"/>
          <w:bCs/>
        </w:rPr>
        <w:t xml:space="preserve"> jako cech przewyższających same zdolności adaptacyjne”</w:t>
      </w:r>
      <w:r>
        <w:rPr>
          <w:rStyle w:val="Odwoanieprzypisudolnego"/>
          <w:rFonts w:cs="Calibri-Bold"/>
          <w:bCs/>
        </w:rPr>
        <w:footnoteReference w:id="18"/>
      </w:r>
      <w:r>
        <w:rPr>
          <w:rFonts w:cs="Calibri-Bold"/>
          <w:bCs/>
        </w:rPr>
        <w:t>.</w:t>
      </w:r>
    </w:p>
    <w:p w:rsidR="00602724" w:rsidRDefault="00602724" w:rsidP="00602724">
      <w:pPr>
        <w:autoSpaceDE w:val="0"/>
        <w:autoSpaceDN w:val="0"/>
        <w:adjustRightInd w:val="0"/>
        <w:spacing w:after="0" w:line="240" w:lineRule="auto"/>
        <w:jc w:val="both"/>
        <w:rPr>
          <w:rFonts w:cs="Calibri-Bold"/>
          <w:bCs/>
        </w:rPr>
      </w:pPr>
    </w:p>
    <w:p w:rsidR="00602724" w:rsidRDefault="00F02566" w:rsidP="00602724">
      <w:pPr>
        <w:autoSpaceDE w:val="0"/>
        <w:autoSpaceDN w:val="0"/>
        <w:adjustRightInd w:val="0"/>
        <w:spacing w:after="0" w:line="240" w:lineRule="auto"/>
        <w:jc w:val="both"/>
        <w:rPr>
          <w:rFonts w:cs="Calibri-Bold"/>
          <w:bCs/>
        </w:rPr>
      </w:pPr>
      <w:r>
        <w:rPr>
          <w:rFonts w:cs="Calibri-Bold"/>
          <w:bCs/>
        </w:rPr>
        <w:t>Gł</w:t>
      </w:r>
      <w:r w:rsidRPr="002001E1">
        <w:rPr>
          <w:rFonts w:cs="Calibri-Bold"/>
          <w:bCs/>
        </w:rPr>
        <w:t xml:space="preserve">ównym celem </w:t>
      </w:r>
      <w:r>
        <w:rPr>
          <w:rFonts w:cs="Calibri-Bold"/>
          <w:bCs/>
        </w:rPr>
        <w:t xml:space="preserve">kształtowania postaw przedsiębiorczych </w:t>
      </w:r>
      <w:r w:rsidR="00193FC8">
        <w:rPr>
          <w:rFonts w:cs="Calibri-Bold"/>
          <w:bCs/>
        </w:rPr>
        <w:t>nie jest nabycie wiedzy na temat tego jak prowadzić własną firmę</w:t>
      </w:r>
      <w:r w:rsidR="00193FC8" w:rsidRPr="002001E1">
        <w:rPr>
          <w:rFonts w:cs="Calibri-Bold"/>
          <w:bCs/>
        </w:rPr>
        <w:t xml:space="preserve"> </w:t>
      </w:r>
      <w:r w:rsidR="00193FC8">
        <w:rPr>
          <w:rFonts w:cs="Calibri-Bold"/>
          <w:bCs/>
        </w:rPr>
        <w:t>ale takie</w:t>
      </w:r>
      <w:r w:rsidRPr="002001E1">
        <w:rPr>
          <w:rFonts w:cs="Calibri-Bold"/>
          <w:bCs/>
        </w:rPr>
        <w:t xml:space="preserve"> stymulowanie </w:t>
      </w:r>
      <w:r w:rsidR="00193FC8">
        <w:rPr>
          <w:rFonts w:cs="Calibri-Bold"/>
          <w:bCs/>
        </w:rPr>
        <w:t>rozwoju aby wykształcić w młodych ludziach skłonność do niezależnego myślenia, innowacyjności, podejmowania ryzyka, umiejętność pracy w grupie, etc.</w:t>
      </w:r>
      <w:r>
        <w:rPr>
          <w:rFonts w:cs="Calibri-Bold"/>
          <w:bCs/>
        </w:rPr>
        <w:t xml:space="preserve"> </w:t>
      </w:r>
    </w:p>
    <w:p w:rsidR="00602724" w:rsidRDefault="00602724" w:rsidP="00602724">
      <w:pPr>
        <w:autoSpaceDE w:val="0"/>
        <w:autoSpaceDN w:val="0"/>
        <w:adjustRightInd w:val="0"/>
        <w:spacing w:after="0" w:line="240" w:lineRule="auto"/>
        <w:jc w:val="both"/>
        <w:rPr>
          <w:rFonts w:cs="Calibri-Bold"/>
          <w:bCs/>
        </w:rPr>
      </w:pPr>
    </w:p>
    <w:p w:rsidR="00602724" w:rsidRDefault="00602724" w:rsidP="00602724">
      <w:pPr>
        <w:autoSpaceDE w:val="0"/>
        <w:autoSpaceDN w:val="0"/>
        <w:adjustRightInd w:val="0"/>
        <w:spacing w:after="0" w:line="240" w:lineRule="auto"/>
        <w:jc w:val="both"/>
        <w:rPr>
          <w:rFonts w:ascii="Calibri" w:hAnsi="Calibri" w:cs="Calibri"/>
        </w:rPr>
      </w:pPr>
      <w:r>
        <w:rPr>
          <w:rFonts w:cs="Calibri-Bold"/>
          <w:bCs/>
        </w:rPr>
        <w:t xml:space="preserve">Dlatego też strategia rozwoju miasta podnosi konieczność </w:t>
      </w:r>
      <w:r>
        <w:rPr>
          <w:rFonts w:ascii="Calibri" w:hAnsi="Calibri" w:cs="Calibri"/>
        </w:rPr>
        <w:t xml:space="preserve">wdrożenia edukacji przedsiębiorczości, </w:t>
      </w:r>
      <w:r w:rsidRPr="002A4851">
        <w:rPr>
          <w:rFonts w:ascii="Calibri" w:hAnsi="Calibri" w:cs="Calibri"/>
          <w:b/>
        </w:rPr>
        <w:t>rozumianej jako nauki kreatywności</w:t>
      </w:r>
      <w:r>
        <w:rPr>
          <w:rFonts w:ascii="Calibri" w:hAnsi="Calibri" w:cs="Calibri"/>
        </w:rPr>
        <w:t>, już od pierwszych lat nauki przedszkolnej i szkolnej</w:t>
      </w:r>
      <w:r w:rsidR="00FC10DE">
        <w:rPr>
          <w:rFonts w:ascii="Calibri" w:hAnsi="Calibri" w:cs="Calibri"/>
        </w:rPr>
        <w:t>,</w:t>
      </w:r>
      <w:r>
        <w:rPr>
          <w:rFonts w:ascii="Calibri" w:hAnsi="Calibri" w:cs="Calibri"/>
        </w:rPr>
        <w:t xml:space="preserve"> co </w:t>
      </w:r>
      <w:r>
        <w:rPr>
          <w:rFonts w:ascii="Calibri" w:hAnsi="Calibri" w:cs="Calibri"/>
        </w:rPr>
        <w:br/>
        <w:t xml:space="preserve">w konsekwencji pozwoli ukształtować w mieszkańcach Suwałk przekonanie o wpływie na rozwój własny, zwiększy poziom </w:t>
      </w:r>
      <w:r w:rsidR="002A4851">
        <w:rPr>
          <w:rFonts w:ascii="Calibri" w:hAnsi="Calibri" w:cs="Calibri"/>
        </w:rPr>
        <w:t>inwencji i skłonność do zmiany otoczenia zewnętrznego</w:t>
      </w:r>
      <w:r>
        <w:rPr>
          <w:rFonts w:ascii="Calibri" w:hAnsi="Calibri" w:cs="Calibri"/>
        </w:rPr>
        <w:t>.</w:t>
      </w:r>
    </w:p>
    <w:p w:rsidR="00602724" w:rsidRDefault="00602724" w:rsidP="00602724">
      <w:pPr>
        <w:autoSpaceDE w:val="0"/>
        <w:autoSpaceDN w:val="0"/>
        <w:adjustRightInd w:val="0"/>
        <w:spacing w:after="0" w:line="240" w:lineRule="auto"/>
        <w:jc w:val="both"/>
        <w:rPr>
          <w:rFonts w:ascii="Calibri" w:hAnsi="Calibri" w:cs="Calibri"/>
        </w:rPr>
      </w:pPr>
    </w:p>
    <w:p w:rsidR="00BD5499" w:rsidRDefault="00602724" w:rsidP="00BD5499">
      <w:pPr>
        <w:autoSpaceDE w:val="0"/>
        <w:autoSpaceDN w:val="0"/>
        <w:adjustRightInd w:val="0"/>
        <w:spacing w:after="0" w:line="240" w:lineRule="auto"/>
        <w:jc w:val="both"/>
        <w:rPr>
          <w:rFonts w:ascii="Calibri" w:hAnsi="Calibri" w:cs="Calibri"/>
        </w:rPr>
      </w:pPr>
      <w:r>
        <w:rPr>
          <w:rFonts w:ascii="Calibri" w:hAnsi="Calibri" w:cs="Calibri"/>
        </w:rPr>
        <w:t>W tym celu zakłada się wprowadzenie następujących elementów do realizowanych programów edukacyjnych w przedszkolach i szkołach, dla których organem prowadzącym jest Miasto Suwałki:</w:t>
      </w:r>
    </w:p>
    <w:p w:rsidR="00BD5499" w:rsidRDefault="006B2442" w:rsidP="00FE3FC5">
      <w:pPr>
        <w:pStyle w:val="Akapitzlist"/>
        <w:numPr>
          <w:ilvl w:val="0"/>
          <w:numId w:val="12"/>
        </w:numPr>
        <w:autoSpaceDE w:val="0"/>
        <w:autoSpaceDN w:val="0"/>
        <w:adjustRightInd w:val="0"/>
        <w:spacing w:after="0" w:line="240" w:lineRule="auto"/>
        <w:jc w:val="both"/>
        <w:rPr>
          <w:rFonts w:ascii="Calibri" w:hAnsi="Calibri" w:cs="Calibri"/>
        </w:rPr>
      </w:pPr>
      <w:r w:rsidRPr="00213A5F">
        <w:rPr>
          <w:rFonts w:ascii="Calibri" w:hAnsi="Calibri" w:cs="Calibri"/>
          <w:b/>
        </w:rPr>
        <w:t>promowanie postaw innowacyjnych</w:t>
      </w:r>
      <w:r w:rsidR="00BD5499" w:rsidRPr="00BD5499">
        <w:rPr>
          <w:rFonts w:ascii="Calibri" w:hAnsi="Calibri" w:cs="Calibri"/>
        </w:rPr>
        <w:t xml:space="preserve"> - poprzez wizyty studyjne w podmiotach stosujących innowacje, </w:t>
      </w:r>
      <w:r w:rsidR="00BD5499">
        <w:rPr>
          <w:rFonts w:ascii="Calibri" w:hAnsi="Calibri" w:cs="Calibri"/>
        </w:rPr>
        <w:t>spotkania z przedsiębiorcami, naukowcami, wynalazcami;</w:t>
      </w:r>
    </w:p>
    <w:p w:rsidR="00BD5499" w:rsidRDefault="00BD5499" w:rsidP="00FE3FC5">
      <w:pPr>
        <w:pStyle w:val="Akapitzlist"/>
        <w:numPr>
          <w:ilvl w:val="0"/>
          <w:numId w:val="12"/>
        </w:numPr>
        <w:autoSpaceDE w:val="0"/>
        <w:autoSpaceDN w:val="0"/>
        <w:adjustRightInd w:val="0"/>
        <w:spacing w:after="0" w:line="240" w:lineRule="auto"/>
        <w:jc w:val="both"/>
        <w:rPr>
          <w:rFonts w:ascii="Calibri" w:hAnsi="Calibri" w:cs="Calibri"/>
        </w:rPr>
      </w:pPr>
      <w:r w:rsidRPr="00213A5F">
        <w:rPr>
          <w:rFonts w:ascii="Calibri" w:hAnsi="Calibri" w:cs="Calibri"/>
          <w:b/>
        </w:rPr>
        <w:t>wprowadzanie do programów elementów kładących nacisk na kreatywność</w:t>
      </w:r>
      <w:r>
        <w:rPr>
          <w:rFonts w:ascii="Calibri" w:hAnsi="Calibri" w:cs="Calibri"/>
        </w:rPr>
        <w:t>, naukę pracy w zespole, nacisk na zastosowanie teorii w praktyce;</w:t>
      </w:r>
    </w:p>
    <w:p w:rsidR="00CB47C4" w:rsidRDefault="00CB47C4" w:rsidP="00FE3FC5">
      <w:pPr>
        <w:pStyle w:val="Akapitzlist"/>
        <w:numPr>
          <w:ilvl w:val="0"/>
          <w:numId w:val="12"/>
        </w:numPr>
        <w:autoSpaceDE w:val="0"/>
        <w:autoSpaceDN w:val="0"/>
        <w:adjustRightInd w:val="0"/>
        <w:spacing w:after="0" w:line="240" w:lineRule="auto"/>
        <w:jc w:val="both"/>
        <w:rPr>
          <w:rFonts w:ascii="Calibri" w:hAnsi="Calibri" w:cs="Calibri"/>
        </w:rPr>
      </w:pPr>
      <w:r w:rsidRPr="00213A5F">
        <w:rPr>
          <w:rFonts w:ascii="Calibri" w:hAnsi="Calibri" w:cs="Calibri"/>
          <w:b/>
        </w:rPr>
        <w:t>wyk</w:t>
      </w:r>
      <w:r w:rsidR="00213A5F">
        <w:rPr>
          <w:rFonts w:ascii="Calibri" w:hAnsi="Calibri" w:cs="Calibri"/>
          <w:b/>
        </w:rPr>
        <w:t>orzystanie potencjału Parku NT do nauki</w:t>
      </w:r>
      <w:r w:rsidRPr="00213A5F">
        <w:rPr>
          <w:rFonts w:ascii="Calibri" w:hAnsi="Calibri" w:cs="Calibri"/>
          <w:b/>
        </w:rPr>
        <w:t xml:space="preserve"> kreatywności dzieci i młodzieży</w:t>
      </w:r>
      <w:r>
        <w:rPr>
          <w:rFonts w:ascii="Calibri" w:hAnsi="Calibri" w:cs="Calibri"/>
        </w:rPr>
        <w:t xml:space="preserve"> – Park NT będzie ośrodkiem wsparcia nauki kreatywności w suwalskich szkołach i przedszkolach poprzez wprowadzenie szerokiej oferty zajęć pozaszkolnych, dodatkowych </w:t>
      </w:r>
      <w:r w:rsidR="00213A5F">
        <w:rPr>
          <w:rFonts w:ascii="Calibri" w:hAnsi="Calibri" w:cs="Calibri"/>
        </w:rPr>
        <w:t>rozwijających zdolność do nieszablonowego myślenia, umiejętności pracy w zespole, postaw proinnowacyjnych w różnych dziedzinach życia. Atrakcyjna oferta Parku NT skierowana do mieszkańców miasta przyczyni się do zwiększenia świadomości wśród mieszkańców nt. specyfiki działania tej instytucji;</w:t>
      </w:r>
    </w:p>
    <w:p w:rsidR="003E7C53" w:rsidRPr="003E7C53" w:rsidRDefault="003E7C53" w:rsidP="003E7C53">
      <w:pPr>
        <w:pStyle w:val="Akapitzlist"/>
        <w:numPr>
          <w:ilvl w:val="0"/>
          <w:numId w:val="12"/>
        </w:numPr>
        <w:autoSpaceDE w:val="0"/>
        <w:autoSpaceDN w:val="0"/>
        <w:adjustRightInd w:val="0"/>
        <w:spacing w:after="0" w:line="240" w:lineRule="auto"/>
        <w:jc w:val="both"/>
        <w:rPr>
          <w:rFonts w:ascii="Calibri" w:hAnsi="Calibri" w:cs="Calibri"/>
          <w:b/>
        </w:rPr>
      </w:pPr>
      <w:r w:rsidRPr="003E7C53">
        <w:rPr>
          <w:rFonts w:ascii="Calibri" w:hAnsi="Calibri" w:cs="Calibri"/>
          <w:b/>
        </w:rPr>
        <w:t>nawiązanie współpracy z Centrum Nauki Kopernik</w:t>
      </w:r>
      <w:r>
        <w:rPr>
          <w:rFonts w:ascii="Calibri" w:hAnsi="Calibri" w:cs="Calibri"/>
          <w:b/>
        </w:rPr>
        <w:t xml:space="preserve"> – </w:t>
      </w:r>
      <w:r w:rsidRPr="003E7C53">
        <w:rPr>
          <w:rFonts w:ascii="Calibri" w:hAnsi="Calibri" w:cs="Calibri"/>
        </w:rPr>
        <w:t>CNK jest wiodącą jednostką</w:t>
      </w:r>
      <w:r>
        <w:rPr>
          <w:rFonts w:ascii="Calibri" w:hAnsi="Calibri" w:cs="Calibri"/>
        </w:rPr>
        <w:t xml:space="preserve"> w Polsce prowadzącą edukac</w:t>
      </w:r>
      <w:r w:rsidR="00102ED0">
        <w:rPr>
          <w:rFonts w:ascii="Calibri" w:hAnsi="Calibri" w:cs="Calibri"/>
        </w:rPr>
        <w:t>ję</w:t>
      </w:r>
      <w:r>
        <w:rPr>
          <w:rFonts w:ascii="Calibri" w:hAnsi="Calibri" w:cs="Calibri"/>
        </w:rPr>
        <w:t xml:space="preserve"> dzieci i młodzieży w celu rozwoju kreatywności </w:t>
      </w:r>
      <w:r>
        <w:rPr>
          <w:rFonts w:ascii="Calibri" w:hAnsi="Calibri" w:cs="Calibri"/>
        </w:rPr>
        <w:br/>
        <w:t>i samodzielnego myślenia. CNK prowadzi ogólnopolski projekt „Klub Młodego Odkrywcy” w ramach którego uczniowie pod kierunkiem nauczycieli przeprowadzają eksperymenty i badania naukowe. Kluby działają na terenie całego kraju i mogą korzystać z bazy sprawdzonych scenariuszy warsztatów</w:t>
      </w:r>
      <w:r w:rsidR="00102ED0">
        <w:rPr>
          <w:rFonts w:ascii="Calibri" w:hAnsi="Calibri" w:cs="Calibri"/>
        </w:rPr>
        <w:t xml:space="preserve"> naukowych</w:t>
      </w:r>
      <w:r>
        <w:rPr>
          <w:rFonts w:ascii="Calibri" w:hAnsi="Calibri" w:cs="Calibri"/>
        </w:rPr>
        <w:t>, wymieniać się pomysłami.</w:t>
      </w:r>
      <w:r w:rsidR="00102ED0">
        <w:rPr>
          <w:rFonts w:ascii="Calibri" w:hAnsi="Calibri" w:cs="Calibri"/>
        </w:rPr>
        <w:t xml:space="preserve"> W chwili obecnej działa 230 klubów takich w Polsce i 10 za granicą;</w:t>
      </w:r>
    </w:p>
    <w:p w:rsidR="008D0B3D" w:rsidRDefault="008D0B3D" w:rsidP="00FE3FC5">
      <w:pPr>
        <w:pStyle w:val="Akapitzlist"/>
        <w:numPr>
          <w:ilvl w:val="0"/>
          <w:numId w:val="12"/>
        </w:numPr>
        <w:autoSpaceDE w:val="0"/>
        <w:autoSpaceDN w:val="0"/>
        <w:adjustRightInd w:val="0"/>
        <w:spacing w:after="0" w:line="240" w:lineRule="auto"/>
        <w:jc w:val="both"/>
        <w:rPr>
          <w:rFonts w:ascii="Calibri" w:hAnsi="Calibri" w:cs="Calibri"/>
        </w:rPr>
      </w:pPr>
      <w:r>
        <w:rPr>
          <w:rFonts w:ascii="Calibri" w:hAnsi="Calibri" w:cs="Calibri"/>
          <w:b/>
        </w:rPr>
        <w:t xml:space="preserve">organizacja konkursów </w:t>
      </w:r>
      <w:r w:rsidR="00CC3FE7">
        <w:rPr>
          <w:rFonts w:ascii="Calibri" w:hAnsi="Calibri" w:cs="Calibri"/>
          <w:b/>
        </w:rPr>
        <w:t xml:space="preserve">dla programistów </w:t>
      </w:r>
      <w:r>
        <w:rPr>
          <w:rFonts w:ascii="Calibri" w:hAnsi="Calibri" w:cs="Calibri"/>
          <w:b/>
        </w:rPr>
        <w:t xml:space="preserve">w Parku NT </w:t>
      </w:r>
      <w:r>
        <w:rPr>
          <w:rFonts w:ascii="Calibri" w:hAnsi="Calibri" w:cs="Calibri"/>
        </w:rPr>
        <w:t>– założeniem konkursu będzie rozwiązanie zadania informatycznego przez zespoły programistów pracujące w</w:t>
      </w:r>
      <w:r w:rsidR="00CC3FE7">
        <w:rPr>
          <w:rFonts w:ascii="Calibri" w:hAnsi="Calibri" w:cs="Calibri"/>
        </w:rPr>
        <w:t xml:space="preserve"> tym samym czasie w</w:t>
      </w:r>
      <w:r>
        <w:rPr>
          <w:rFonts w:ascii="Calibri" w:hAnsi="Calibri" w:cs="Calibri"/>
        </w:rPr>
        <w:t xml:space="preserve"> innych Parkach NT, uczelniach, ośrodkach naukowych</w:t>
      </w:r>
      <w:r w:rsidR="00CC3FE7">
        <w:rPr>
          <w:rFonts w:ascii="Calibri" w:hAnsi="Calibri" w:cs="Calibri"/>
        </w:rPr>
        <w:t>. Działanie będzie prowadzone we współpracy z partnerami z regionu i kraju z nagrodami pieniężnymi i rzeczowymi ufundowanymi przez władze miast, spółki, uczelnie, etc. Celem konkursu będzie nauka nowych technologii, pracy w zespole i pod presją czasu, promocja kreatywności, wyłonienie najzdolniejszych jednostek;</w:t>
      </w:r>
    </w:p>
    <w:p w:rsidR="00BD5499" w:rsidRDefault="00BD5499" w:rsidP="00FE3FC5">
      <w:pPr>
        <w:pStyle w:val="Akapitzlist"/>
        <w:numPr>
          <w:ilvl w:val="0"/>
          <w:numId w:val="12"/>
        </w:numPr>
        <w:autoSpaceDE w:val="0"/>
        <w:autoSpaceDN w:val="0"/>
        <w:adjustRightInd w:val="0"/>
        <w:spacing w:after="0" w:line="240" w:lineRule="auto"/>
        <w:jc w:val="both"/>
        <w:rPr>
          <w:rFonts w:ascii="Calibri" w:hAnsi="Calibri" w:cs="Calibri"/>
        </w:rPr>
      </w:pPr>
      <w:r w:rsidRPr="00213A5F">
        <w:rPr>
          <w:rFonts w:ascii="Calibri" w:hAnsi="Calibri" w:cs="Calibri"/>
          <w:b/>
        </w:rPr>
        <w:t>dokształcanie nauczycieli</w:t>
      </w:r>
      <w:r>
        <w:rPr>
          <w:rFonts w:ascii="Calibri" w:hAnsi="Calibri" w:cs="Calibri"/>
        </w:rPr>
        <w:t xml:space="preserve"> – w kierunku rozwoju kompetencji pozwalających na wprowadzanie do metodyki nauczania elementów kreatywności;</w:t>
      </w:r>
    </w:p>
    <w:p w:rsidR="0056728C" w:rsidRDefault="00F42114" w:rsidP="00FE3FC5">
      <w:pPr>
        <w:pStyle w:val="Akapitzlist"/>
        <w:numPr>
          <w:ilvl w:val="0"/>
          <w:numId w:val="12"/>
        </w:numPr>
        <w:autoSpaceDE w:val="0"/>
        <w:autoSpaceDN w:val="0"/>
        <w:adjustRightInd w:val="0"/>
        <w:spacing w:after="0" w:line="240" w:lineRule="auto"/>
        <w:jc w:val="both"/>
        <w:rPr>
          <w:rFonts w:ascii="Calibri" w:hAnsi="Calibri" w:cs="Calibri"/>
        </w:rPr>
      </w:pPr>
      <w:r w:rsidRPr="00213A5F">
        <w:rPr>
          <w:rFonts w:ascii="Calibri" w:hAnsi="Calibri" w:cs="Calibri"/>
          <w:b/>
        </w:rPr>
        <w:t>inwestycje w pracownie nauki przedmiotu i pomoce dydaktyczne</w:t>
      </w:r>
      <w:r>
        <w:rPr>
          <w:rFonts w:ascii="Calibri" w:hAnsi="Calibri" w:cs="Calibri"/>
        </w:rPr>
        <w:t>;</w:t>
      </w:r>
    </w:p>
    <w:p w:rsidR="00FE59AD" w:rsidRPr="00BC1C74" w:rsidRDefault="00BD5499" w:rsidP="00FE59AD">
      <w:pPr>
        <w:pStyle w:val="Akapitzlist"/>
        <w:numPr>
          <w:ilvl w:val="0"/>
          <w:numId w:val="12"/>
        </w:numPr>
        <w:autoSpaceDE w:val="0"/>
        <w:autoSpaceDN w:val="0"/>
        <w:adjustRightInd w:val="0"/>
        <w:spacing w:after="0" w:line="240" w:lineRule="auto"/>
        <w:jc w:val="both"/>
        <w:rPr>
          <w:rFonts w:ascii="Calibri" w:hAnsi="Calibri" w:cs="Calibri"/>
        </w:rPr>
      </w:pPr>
      <w:r w:rsidRPr="00213A5F">
        <w:rPr>
          <w:rFonts w:ascii="Calibri" w:hAnsi="Calibri" w:cs="Calibri"/>
          <w:b/>
        </w:rPr>
        <w:t>gry edukacyjne</w:t>
      </w:r>
      <w:r w:rsidR="006B2442" w:rsidRPr="0056728C">
        <w:rPr>
          <w:rFonts w:ascii="Calibri" w:hAnsi="Calibri" w:cs="Calibri"/>
        </w:rPr>
        <w:t xml:space="preserve"> </w:t>
      </w:r>
      <w:r w:rsidR="00ED3014" w:rsidRPr="0056728C">
        <w:rPr>
          <w:rFonts w:ascii="Calibri" w:hAnsi="Calibri" w:cs="Calibri"/>
        </w:rPr>
        <w:t>–</w:t>
      </w:r>
      <w:r w:rsidR="006B2442" w:rsidRPr="0056728C">
        <w:rPr>
          <w:rFonts w:ascii="Calibri" w:hAnsi="Calibri" w:cs="Calibri"/>
        </w:rPr>
        <w:t xml:space="preserve"> </w:t>
      </w:r>
      <w:r w:rsidR="00ED3014" w:rsidRPr="0056728C">
        <w:rPr>
          <w:rFonts w:ascii="Calibri" w:hAnsi="Calibri" w:cs="Calibri"/>
        </w:rPr>
        <w:t xml:space="preserve">Raporty organizacji </w:t>
      </w:r>
      <w:proofErr w:type="spellStart"/>
      <w:r w:rsidR="00ED3014" w:rsidRPr="0056728C">
        <w:rPr>
          <w:rFonts w:ascii="Calibri" w:hAnsi="Calibri" w:cs="Calibri"/>
        </w:rPr>
        <w:t>Futurelab</w:t>
      </w:r>
      <w:proofErr w:type="spellEnd"/>
      <w:r w:rsidR="00ED3014" w:rsidRPr="0056728C">
        <w:rPr>
          <w:rFonts w:ascii="Calibri" w:hAnsi="Calibri" w:cs="Calibri"/>
        </w:rPr>
        <w:t xml:space="preserve"> „2020 and Beyond” „Curriculum and </w:t>
      </w:r>
      <w:proofErr w:type="spellStart"/>
      <w:r w:rsidR="00ED3014" w:rsidRPr="0056728C">
        <w:rPr>
          <w:rFonts w:ascii="Calibri" w:hAnsi="Calibri" w:cs="Calibri"/>
        </w:rPr>
        <w:t>Teaching</w:t>
      </w:r>
      <w:proofErr w:type="spellEnd"/>
      <w:r w:rsidR="00ED3014" w:rsidRPr="0056728C">
        <w:rPr>
          <w:rFonts w:ascii="Calibri" w:hAnsi="Calibri" w:cs="Calibri"/>
        </w:rPr>
        <w:t xml:space="preserve"> </w:t>
      </w:r>
      <w:proofErr w:type="spellStart"/>
      <w:r w:rsidR="00ED3014" w:rsidRPr="0056728C">
        <w:rPr>
          <w:rFonts w:ascii="Calibri" w:hAnsi="Calibri" w:cs="Calibri"/>
        </w:rPr>
        <w:t>Innovation</w:t>
      </w:r>
      <w:proofErr w:type="spellEnd"/>
      <w:r w:rsidR="00ED3014" w:rsidRPr="0056728C">
        <w:rPr>
          <w:rFonts w:ascii="Calibri" w:hAnsi="Calibri" w:cs="Calibri"/>
        </w:rPr>
        <w:t xml:space="preserve">” (2009) potwierdzają, ze gry są doskonałymi narzędziami edukacyjnymi, a ich wykorzystanie powinno wspierać proces nauczania na każdym poziomie nauki. Gra poprzez zabawę wspomaga utrwalenie zdobytej wiedzy, umiejętności, postaw, uczy myślenia przyczynowo-skutkowego oraz współpracy na rzecz osiągania celu. Metoda ta wpisuje się w nowy trend w dydaktyce – </w:t>
      </w:r>
      <w:proofErr w:type="spellStart"/>
      <w:r w:rsidR="00ED3014" w:rsidRPr="0056728C">
        <w:rPr>
          <w:rFonts w:ascii="Calibri" w:hAnsi="Calibri" w:cs="Calibri"/>
        </w:rPr>
        <w:t>edutainment</w:t>
      </w:r>
      <w:proofErr w:type="spellEnd"/>
      <w:r w:rsidR="00ED3014" w:rsidRPr="0056728C">
        <w:rPr>
          <w:rFonts w:ascii="Calibri" w:hAnsi="Calibri" w:cs="Calibri"/>
        </w:rPr>
        <w:t xml:space="preserve"> – obejmujący wszelkiego rodzaju gry edukacyjne, rozwijające myślenie logiczne i strategiczne, umiejętności dedukcyjne, kojarzenie faktów oraz wykorzystywanie</w:t>
      </w:r>
      <w:r w:rsidR="00CB47C4">
        <w:rPr>
          <w:rFonts w:ascii="Calibri" w:hAnsi="Calibri" w:cs="Calibri"/>
        </w:rPr>
        <w:t xml:space="preserve"> ich do rozwiązywa</w:t>
      </w:r>
      <w:r w:rsidR="008D0B3D">
        <w:rPr>
          <w:rFonts w:ascii="Calibri" w:hAnsi="Calibri" w:cs="Calibri"/>
        </w:rPr>
        <w:t>nia problemów.</w:t>
      </w:r>
    </w:p>
    <w:p w:rsidR="00FE59AD" w:rsidRPr="00FE59AD" w:rsidRDefault="00FE59AD" w:rsidP="00FE59AD">
      <w:pPr>
        <w:autoSpaceDE w:val="0"/>
        <w:autoSpaceDN w:val="0"/>
        <w:adjustRightInd w:val="0"/>
        <w:spacing w:after="0" w:line="240" w:lineRule="auto"/>
        <w:jc w:val="both"/>
        <w:rPr>
          <w:rFonts w:ascii="Calibri" w:hAnsi="Calibri" w:cs="Calibri"/>
        </w:rPr>
      </w:pPr>
    </w:p>
    <w:tbl>
      <w:tblPr>
        <w:tblStyle w:val="Tabela-Siatka"/>
        <w:tblW w:w="0" w:type="auto"/>
        <w:tblLook w:val="04A0"/>
      </w:tblPr>
      <w:tblGrid>
        <w:gridCol w:w="2045"/>
        <w:gridCol w:w="2258"/>
        <w:gridCol w:w="1812"/>
        <w:gridCol w:w="1418"/>
        <w:gridCol w:w="1755"/>
      </w:tblGrid>
      <w:tr w:rsidR="006B2442" w:rsidRPr="002B47D5" w:rsidTr="00ED3014">
        <w:tc>
          <w:tcPr>
            <w:tcW w:w="2045" w:type="dxa"/>
            <w:shd w:val="clear" w:color="auto" w:fill="4F81BD" w:themeFill="accent1"/>
          </w:tcPr>
          <w:p w:rsidR="006B2442" w:rsidRPr="002B47D5" w:rsidRDefault="006B2442" w:rsidP="00ED3014">
            <w:pPr>
              <w:rPr>
                <w:color w:val="FFFFFF" w:themeColor="background1"/>
                <w:sz w:val="18"/>
                <w:szCs w:val="18"/>
              </w:rPr>
            </w:pPr>
            <w:r>
              <w:rPr>
                <w:color w:val="FFFFFF" w:themeColor="background1"/>
                <w:sz w:val="18"/>
                <w:szCs w:val="18"/>
              </w:rPr>
              <w:t>Działanie</w:t>
            </w:r>
          </w:p>
        </w:tc>
        <w:tc>
          <w:tcPr>
            <w:tcW w:w="2258" w:type="dxa"/>
            <w:shd w:val="clear" w:color="auto" w:fill="4F81BD" w:themeFill="accent1"/>
          </w:tcPr>
          <w:p w:rsidR="006B2442" w:rsidRPr="002B47D5" w:rsidRDefault="006B2442" w:rsidP="00ED3014">
            <w:pPr>
              <w:rPr>
                <w:color w:val="FFFFFF" w:themeColor="background1"/>
                <w:sz w:val="18"/>
                <w:szCs w:val="18"/>
              </w:rPr>
            </w:pPr>
            <w:r>
              <w:rPr>
                <w:color w:val="FFFFFF" w:themeColor="background1"/>
                <w:sz w:val="18"/>
                <w:szCs w:val="18"/>
              </w:rPr>
              <w:t>Podmioty odpowiedzialne</w:t>
            </w:r>
          </w:p>
        </w:tc>
        <w:tc>
          <w:tcPr>
            <w:tcW w:w="1812" w:type="dxa"/>
            <w:shd w:val="clear" w:color="auto" w:fill="4F81BD" w:themeFill="accent1"/>
          </w:tcPr>
          <w:p w:rsidR="006B2442" w:rsidRPr="002B47D5" w:rsidRDefault="006B2442" w:rsidP="00ED3014">
            <w:pPr>
              <w:rPr>
                <w:color w:val="FFFFFF" w:themeColor="background1"/>
                <w:sz w:val="18"/>
                <w:szCs w:val="18"/>
              </w:rPr>
            </w:pPr>
            <w:r>
              <w:rPr>
                <w:color w:val="FFFFFF" w:themeColor="background1"/>
                <w:sz w:val="18"/>
                <w:szCs w:val="18"/>
              </w:rPr>
              <w:t>Grupy docelowe</w:t>
            </w:r>
          </w:p>
        </w:tc>
        <w:tc>
          <w:tcPr>
            <w:tcW w:w="1418" w:type="dxa"/>
            <w:shd w:val="clear" w:color="auto" w:fill="4F81BD" w:themeFill="accent1"/>
          </w:tcPr>
          <w:p w:rsidR="006B2442" w:rsidRDefault="006B2442" w:rsidP="00ED3014">
            <w:pPr>
              <w:rPr>
                <w:color w:val="FFFFFF" w:themeColor="background1"/>
                <w:sz w:val="18"/>
                <w:szCs w:val="18"/>
              </w:rPr>
            </w:pPr>
            <w:r>
              <w:rPr>
                <w:color w:val="FFFFFF" w:themeColor="background1"/>
                <w:sz w:val="18"/>
                <w:szCs w:val="18"/>
              </w:rPr>
              <w:t>Koszt</w:t>
            </w:r>
          </w:p>
        </w:tc>
        <w:tc>
          <w:tcPr>
            <w:tcW w:w="1755" w:type="dxa"/>
            <w:shd w:val="clear" w:color="auto" w:fill="4F81BD" w:themeFill="accent1"/>
          </w:tcPr>
          <w:p w:rsidR="006B2442" w:rsidRPr="002B47D5" w:rsidRDefault="006B2442" w:rsidP="00ED3014">
            <w:pPr>
              <w:rPr>
                <w:color w:val="FFFFFF" w:themeColor="background1"/>
                <w:sz w:val="18"/>
                <w:szCs w:val="18"/>
              </w:rPr>
            </w:pPr>
            <w:r>
              <w:rPr>
                <w:color w:val="FFFFFF" w:themeColor="background1"/>
                <w:sz w:val="18"/>
                <w:szCs w:val="18"/>
              </w:rPr>
              <w:t>Źródła finansowania</w:t>
            </w:r>
          </w:p>
        </w:tc>
      </w:tr>
      <w:tr w:rsidR="006B2442" w:rsidRPr="002B47D5" w:rsidTr="00ED3014">
        <w:tc>
          <w:tcPr>
            <w:tcW w:w="2045" w:type="dxa"/>
          </w:tcPr>
          <w:p w:rsidR="006B2442" w:rsidRPr="005152A0" w:rsidRDefault="006B2442" w:rsidP="00ED3014">
            <w:pPr>
              <w:jc w:val="both"/>
              <w:rPr>
                <w:sz w:val="18"/>
                <w:szCs w:val="18"/>
              </w:rPr>
            </w:pPr>
            <w:r>
              <w:rPr>
                <w:rFonts w:ascii="Calibri" w:hAnsi="Calibri" w:cs="Calibri"/>
                <w:sz w:val="18"/>
                <w:szCs w:val="18"/>
              </w:rPr>
              <w:t>P</w:t>
            </w:r>
            <w:r w:rsidRPr="006B2442">
              <w:rPr>
                <w:rFonts w:ascii="Calibri" w:hAnsi="Calibri" w:cs="Calibri"/>
                <w:sz w:val="18"/>
                <w:szCs w:val="18"/>
              </w:rPr>
              <w:t>romowanie postaw innowacyjnych</w:t>
            </w:r>
          </w:p>
        </w:tc>
        <w:tc>
          <w:tcPr>
            <w:tcW w:w="2258" w:type="dxa"/>
          </w:tcPr>
          <w:p w:rsidR="006B2442" w:rsidRPr="002B47D5" w:rsidRDefault="006B2442" w:rsidP="00ED3014">
            <w:pPr>
              <w:jc w:val="both"/>
              <w:rPr>
                <w:sz w:val="18"/>
                <w:szCs w:val="18"/>
              </w:rPr>
            </w:pPr>
            <w:r>
              <w:rPr>
                <w:sz w:val="18"/>
                <w:szCs w:val="18"/>
              </w:rPr>
              <w:t>Szkoły i przedszkola, OWS</w:t>
            </w:r>
          </w:p>
        </w:tc>
        <w:tc>
          <w:tcPr>
            <w:tcW w:w="1812" w:type="dxa"/>
          </w:tcPr>
          <w:p w:rsidR="006B2442" w:rsidRPr="002B47D5" w:rsidRDefault="006B2442" w:rsidP="00ED3014">
            <w:pPr>
              <w:jc w:val="both"/>
              <w:rPr>
                <w:sz w:val="18"/>
                <w:szCs w:val="18"/>
              </w:rPr>
            </w:pPr>
            <w:r>
              <w:rPr>
                <w:sz w:val="18"/>
                <w:szCs w:val="18"/>
              </w:rPr>
              <w:t>Dzieci, uczniowie</w:t>
            </w:r>
          </w:p>
        </w:tc>
        <w:tc>
          <w:tcPr>
            <w:tcW w:w="1418" w:type="dxa"/>
          </w:tcPr>
          <w:p w:rsidR="006B2442" w:rsidRPr="002B47D5" w:rsidRDefault="00FC10DE" w:rsidP="00ED3014">
            <w:pPr>
              <w:jc w:val="both"/>
              <w:rPr>
                <w:sz w:val="18"/>
                <w:szCs w:val="18"/>
              </w:rPr>
            </w:pPr>
            <w:r>
              <w:rPr>
                <w:sz w:val="18"/>
                <w:szCs w:val="18"/>
              </w:rPr>
              <w:t>50.000 zł/rok</w:t>
            </w:r>
          </w:p>
        </w:tc>
        <w:tc>
          <w:tcPr>
            <w:tcW w:w="1755" w:type="dxa"/>
          </w:tcPr>
          <w:p w:rsidR="006B2442" w:rsidRPr="002B47D5" w:rsidRDefault="006B2442" w:rsidP="00ED3014">
            <w:pPr>
              <w:jc w:val="left"/>
              <w:rPr>
                <w:sz w:val="18"/>
                <w:szCs w:val="18"/>
              </w:rPr>
            </w:pPr>
            <w:r>
              <w:rPr>
                <w:sz w:val="18"/>
                <w:szCs w:val="18"/>
              </w:rPr>
              <w:t>Fundusze unijne środki własne</w:t>
            </w:r>
          </w:p>
        </w:tc>
      </w:tr>
      <w:tr w:rsidR="006B2442" w:rsidRPr="002B47D5" w:rsidTr="00ED3014">
        <w:tc>
          <w:tcPr>
            <w:tcW w:w="2045" w:type="dxa"/>
          </w:tcPr>
          <w:p w:rsidR="006B2442" w:rsidRPr="005152A0" w:rsidRDefault="006B2442" w:rsidP="00ED3014">
            <w:pPr>
              <w:jc w:val="both"/>
              <w:rPr>
                <w:sz w:val="18"/>
                <w:szCs w:val="18"/>
              </w:rPr>
            </w:pPr>
            <w:r>
              <w:rPr>
                <w:sz w:val="18"/>
                <w:szCs w:val="18"/>
              </w:rPr>
              <w:t>Unowocześnienie programów nauczania</w:t>
            </w:r>
          </w:p>
        </w:tc>
        <w:tc>
          <w:tcPr>
            <w:tcW w:w="2258" w:type="dxa"/>
          </w:tcPr>
          <w:p w:rsidR="006B2442" w:rsidRPr="002B47D5" w:rsidRDefault="006B2442" w:rsidP="00ED3014">
            <w:pPr>
              <w:jc w:val="both"/>
              <w:rPr>
                <w:sz w:val="18"/>
                <w:szCs w:val="18"/>
              </w:rPr>
            </w:pPr>
            <w:r>
              <w:rPr>
                <w:sz w:val="18"/>
                <w:szCs w:val="18"/>
              </w:rPr>
              <w:t>Szkoły i przedszkola, OWS</w:t>
            </w:r>
          </w:p>
        </w:tc>
        <w:tc>
          <w:tcPr>
            <w:tcW w:w="1812" w:type="dxa"/>
          </w:tcPr>
          <w:p w:rsidR="006B2442" w:rsidRPr="002B47D5" w:rsidRDefault="006B2442" w:rsidP="00ED3014">
            <w:pPr>
              <w:jc w:val="both"/>
              <w:rPr>
                <w:sz w:val="18"/>
                <w:szCs w:val="18"/>
              </w:rPr>
            </w:pPr>
            <w:r>
              <w:rPr>
                <w:sz w:val="18"/>
                <w:szCs w:val="18"/>
              </w:rPr>
              <w:t>Dzieci, uczniowie</w:t>
            </w:r>
          </w:p>
        </w:tc>
        <w:tc>
          <w:tcPr>
            <w:tcW w:w="1418" w:type="dxa"/>
          </w:tcPr>
          <w:p w:rsidR="006B2442" w:rsidRPr="002B47D5" w:rsidRDefault="00FC10DE" w:rsidP="00ED3014">
            <w:pPr>
              <w:jc w:val="both"/>
              <w:rPr>
                <w:sz w:val="18"/>
                <w:szCs w:val="18"/>
              </w:rPr>
            </w:pPr>
            <w:r>
              <w:rPr>
                <w:sz w:val="18"/>
                <w:szCs w:val="18"/>
              </w:rPr>
              <w:t>-</w:t>
            </w:r>
          </w:p>
        </w:tc>
        <w:tc>
          <w:tcPr>
            <w:tcW w:w="1755" w:type="dxa"/>
          </w:tcPr>
          <w:p w:rsidR="006B2442" w:rsidRPr="002B47D5" w:rsidRDefault="006B2442" w:rsidP="00ED3014">
            <w:pPr>
              <w:jc w:val="left"/>
              <w:rPr>
                <w:sz w:val="18"/>
                <w:szCs w:val="18"/>
              </w:rPr>
            </w:pPr>
            <w:r>
              <w:rPr>
                <w:sz w:val="18"/>
                <w:szCs w:val="18"/>
              </w:rPr>
              <w:t>Fundusze unijne środki własne</w:t>
            </w:r>
          </w:p>
        </w:tc>
      </w:tr>
      <w:tr w:rsidR="00213A5F" w:rsidRPr="002B47D5" w:rsidTr="00ED3014">
        <w:tc>
          <w:tcPr>
            <w:tcW w:w="2045" w:type="dxa"/>
          </w:tcPr>
          <w:p w:rsidR="00213A5F" w:rsidRDefault="00213A5F" w:rsidP="00ED3014">
            <w:pPr>
              <w:jc w:val="both"/>
              <w:rPr>
                <w:rFonts w:ascii="Calibri" w:hAnsi="Calibri" w:cs="Calibri"/>
                <w:sz w:val="18"/>
                <w:szCs w:val="18"/>
              </w:rPr>
            </w:pPr>
            <w:r>
              <w:rPr>
                <w:rFonts w:ascii="Calibri" w:hAnsi="Calibri" w:cs="Calibri"/>
                <w:sz w:val="18"/>
                <w:szCs w:val="18"/>
              </w:rPr>
              <w:t>Park NT ośrodkiem wsparcia nauki kreatywności wśród dzieci i młodzieży z suwalskich szkół i przedszkoli</w:t>
            </w:r>
          </w:p>
        </w:tc>
        <w:tc>
          <w:tcPr>
            <w:tcW w:w="2258" w:type="dxa"/>
          </w:tcPr>
          <w:p w:rsidR="00213A5F" w:rsidRPr="002B47D5" w:rsidRDefault="00213A5F" w:rsidP="00CC3FE7">
            <w:pPr>
              <w:jc w:val="both"/>
              <w:rPr>
                <w:sz w:val="18"/>
                <w:szCs w:val="18"/>
              </w:rPr>
            </w:pPr>
            <w:r>
              <w:rPr>
                <w:sz w:val="18"/>
                <w:szCs w:val="18"/>
              </w:rPr>
              <w:t>PNT, Szkoły i przedszkola, OWS</w:t>
            </w:r>
          </w:p>
        </w:tc>
        <w:tc>
          <w:tcPr>
            <w:tcW w:w="1812" w:type="dxa"/>
          </w:tcPr>
          <w:p w:rsidR="00213A5F" w:rsidRPr="002B47D5" w:rsidRDefault="00213A5F" w:rsidP="00CC3FE7">
            <w:pPr>
              <w:jc w:val="both"/>
              <w:rPr>
                <w:sz w:val="18"/>
                <w:szCs w:val="18"/>
              </w:rPr>
            </w:pPr>
            <w:r>
              <w:rPr>
                <w:sz w:val="18"/>
                <w:szCs w:val="18"/>
              </w:rPr>
              <w:t>Dzieci, uczniowie</w:t>
            </w:r>
          </w:p>
        </w:tc>
        <w:tc>
          <w:tcPr>
            <w:tcW w:w="1418" w:type="dxa"/>
          </w:tcPr>
          <w:p w:rsidR="00213A5F" w:rsidRPr="002B47D5" w:rsidRDefault="000B32F8" w:rsidP="00CC3FE7">
            <w:pPr>
              <w:jc w:val="both"/>
              <w:rPr>
                <w:sz w:val="18"/>
                <w:szCs w:val="18"/>
              </w:rPr>
            </w:pPr>
            <w:r>
              <w:rPr>
                <w:sz w:val="18"/>
                <w:szCs w:val="18"/>
              </w:rPr>
              <w:t>100.000 zł/rok</w:t>
            </w:r>
          </w:p>
        </w:tc>
        <w:tc>
          <w:tcPr>
            <w:tcW w:w="1755" w:type="dxa"/>
          </w:tcPr>
          <w:p w:rsidR="00213A5F" w:rsidRPr="002B47D5" w:rsidRDefault="00213A5F" w:rsidP="00CC3FE7">
            <w:pPr>
              <w:jc w:val="left"/>
              <w:rPr>
                <w:sz w:val="18"/>
                <w:szCs w:val="18"/>
              </w:rPr>
            </w:pPr>
            <w:r>
              <w:rPr>
                <w:sz w:val="18"/>
                <w:szCs w:val="18"/>
              </w:rPr>
              <w:t>Fundusze unijne środki własne</w:t>
            </w:r>
          </w:p>
        </w:tc>
      </w:tr>
      <w:tr w:rsidR="00102ED0" w:rsidRPr="002B47D5" w:rsidTr="00ED3014">
        <w:tc>
          <w:tcPr>
            <w:tcW w:w="2045" w:type="dxa"/>
          </w:tcPr>
          <w:p w:rsidR="00102ED0" w:rsidRDefault="00102ED0" w:rsidP="00ED3014">
            <w:pPr>
              <w:jc w:val="both"/>
              <w:rPr>
                <w:rFonts w:ascii="Calibri" w:hAnsi="Calibri" w:cs="Calibri"/>
                <w:sz w:val="18"/>
                <w:szCs w:val="18"/>
              </w:rPr>
            </w:pPr>
            <w:r>
              <w:rPr>
                <w:rFonts w:ascii="Calibri" w:hAnsi="Calibri" w:cs="Calibri"/>
                <w:sz w:val="18"/>
                <w:szCs w:val="18"/>
              </w:rPr>
              <w:t>N</w:t>
            </w:r>
            <w:r w:rsidRPr="00102ED0">
              <w:rPr>
                <w:rFonts w:ascii="Calibri" w:hAnsi="Calibri" w:cs="Calibri"/>
                <w:sz w:val="18"/>
                <w:szCs w:val="18"/>
              </w:rPr>
              <w:t>awiązanie współpracy z Centrum Nauki Kopernik</w:t>
            </w:r>
          </w:p>
        </w:tc>
        <w:tc>
          <w:tcPr>
            <w:tcW w:w="2258" w:type="dxa"/>
          </w:tcPr>
          <w:p w:rsidR="00102ED0" w:rsidRPr="002B47D5" w:rsidRDefault="00102ED0" w:rsidP="00152C09">
            <w:pPr>
              <w:jc w:val="both"/>
              <w:rPr>
                <w:sz w:val="18"/>
                <w:szCs w:val="18"/>
              </w:rPr>
            </w:pPr>
            <w:r>
              <w:rPr>
                <w:sz w:val="18"/>
                <w:szCs w:val="18"/>
              </w:rPr>
              <w:t>PNT, Szkoły i przedszkola, OWS</w:t>
            </w:r>
          </w:p>
        </w:tc>
        <w:tc>
          <w:tcPr>
            <w:tcW w:w="1812" w:type="dxa"/>
          </w:tcPr>
          <w:p w:rsidR="00102ED0" w:rsidRPr="002B47D5" w:rsidRDefault="00102ED0" w:rsidP="00152C09">
            <w:pPr>
              <w:jc w:val="both"/>
              <w:rPr>
                <w:sz w:val="18"/>
                <w:szCs w:val="18"/>
              </w:rPr>
            </w:pPr>
            <w:r>
              <w:rPr>
                <w:sz w:val="18"/>
                <w:szCs w:val="18"/>
              </w:rPr>
              <w:t>Dzieci, uczniowie</w:t>
            </w:r>
          </w:p>
        </w:tc>
        <w:tc>
          <w:tcPr>
            <w:tcW w:w="1418" w:type="dxa"/>
          </w:tcPr>
          <w:p w:rsidR="00102ED0" w:rsidRPr="002B47D5" w:rsidRDefault="00102ED0" w:rsidP="00152C09">
            <w:pPr>
              <w:jc w:val="both"/>
              <w:rPr>
                <w:sz w:val="18"/>
                <w:szCs w:val="18"/>
              </w:rPr>
            </w:pPr>
            <w:r>
              <w:rPr>
                <w:sz w:val="18"/>
                <w:szCs w:val="18"/>
              </w:rPr>
              <w:t>-</w:t>
            </w:r>
          </w:p>
        </w:tc>
        <w:tc>
          <w:tcPr>
            <w:tcW w:w="1755" w:type="dxa"/>
          </w:tcPr>
          <w:p w:rsidR="00102ED0" w:rsidRPr="002B47D5" w:rsidRDefault="00102ED0" w:rsidP="00152C09">
            <w:pPr>
              <w:jc w:val="left"/>
              <w:rPr>
                <w:sz w:val="18"/>
                <w:szCs w:val="18"/>
              </w:rPr>
            </w:pPr>
            <w:r>
              <w:rPr>
                <w:sz w:val="18"/>
                <w:szCs w:val="18"/>
              </w:rPr>
              <w:t>Środki własne</w:t>
            </w:r>
          </w:p>
        </w:tc>
      </w:tr>
      <w:tr w:rsidR="00CC3FE7" w:rsidRPr="002B47D5" w:rsidTr="00ED3014">
        <w:tc>
          <w:tcPr>
            <w:tcW w:w="2045" w:type="dxa"/>
          </w:tcPr>
          <w:p w:rsidR="00CC3FE7" w:rsidRDefault="00CC3FE7" w:rsidP="00ED3014">
            <w:pPr>
              <w:jc w:val="both"/>
              <w:rPr>
                <w:rFonts w:ascii="Calibri" w:hAnsi="Calibri" w:cs="Calibri"/>
                <w:sz w:val="18"/>
                <w:szCs w:val="18"/>
              </w:rPr>
            </w:pPr>
            <w:r>
              <w:rPr>
                <w:rFonts w:ascii="Calibri" w:hAnsi="Calibri" w:cs="Calibri"/>
                <w:sz w:val="18"/>
                <w:szCs w:val="18"/>
              </w:rPr>
              <w:t>Konkursy dla programistów w Parku NT</w:t>
            </w:r>
          </w:p>
        </w:tc>
        <w:tc>
          <w:tcPr>
            <w:tcW w:w="2258" w:type="dxa"/>
          </w:tcPr>
          <w:p w:rsidR="00CC3FE7" w:rsidRPr="002B47D5" w:rsidRDefault="00CC3FE7" w:rsidP="00CC3FE7">
            <w:pPr>
              <w:jc w:val="both"/>
              <w:rPr>
                <w:sz w:val="18"/>
                <w:szCs w:val="18"/>
              </w:rPr>
            </w:pPr>
            <w:r>
              <w:rPr>
                <w:sz w:val="18"/>
                <w:szCs w:val="18"/>
              </w:rPr>
              <w:t>PNT, Szkoły, instytucje partnerskie</w:t>
            </w:r>
          </w:p>
        </w:tc>
        <w:tc>
          <w:tcPr>
            <w:tcW w:w="1812" w:type="dxa"/>
          </w:tcPr>
          <w:p w:rsidR="00CC3FE7" w:rsidRPr="002B47D5" w:rsidRDefault="00CC3FE7" w:rsidP="00CC3FE7">
            <w:pPr>
              <w:jc w:val="both"/>
              <w:rPr>
                <w:sz w:val="18"/>
                <w:szCs w:val="18"/>
              </w:rPr>
            </w:pPr>
            <w:r>
              <w:rPr>
                <w:sz w:val="18"/>
                <w:szCs w:val="18"/>
              </w:rPr>
              <w:t>Uczniowie</w:t>
            </w:r>
          </w:p>
        </w:tc>
        <w:tc>
          <w:tcPr>
            <w:tcW w:w="1418" w:type="dxa"/>
          </w:tcPr>
          <w:p w:rsidR="00CC3FE7" w:rsidRPr="002B47D5" w:rsidRDefault="00FC10DE" w:rsidP="00CC3FE7">
            <w:pPr>
              <w:jc w:val="both"/>
              <w:rPr>
                <w:sz w:val="18"/>
                <w:szCs w:val="18"/>
              </w:rPr>
            </w:pPr>
            <w:r>
              <w:rPr>
                <w:sz w:val="18"/>
                <w:szCs w:val="18"/>
              </w:rPr>
              <w:t>20.000 zł/rok</w:t>
            </w:r>
          </w:p>
        </w:tc>
        <w:tc>
          <w:tcPr>
            <w:tcW w:w="1755" w:type="dxa"/>
          </w:tcPr>
          <w:p w:rsidR="00CC3FE7" w:rsidRPr="002B47D5" w:rsidRDefault="00CC3FE7" w:rsidP="00CC3FE7">
            <w:pPr>
              <w:jc w:val="left"/>
              <w:rPr>
                <w:sz w:val="18"/>
                <w:szCs w:val="18"/>
              </w:rPr>
            </w:pPr>
            <w:r>
              <w:rPr>
                <w:sz w:val="18"/>
                <w:szCs w:val="18"/>
              </w:rPr>
              <w:t>Fundusze unijne środki własne</w:t>
            </w:r>
          </w:p>
        </w:tc>
      </w:tr>
      <w:tr w:rsidR="006B2442" w:rsidRPr="002B47D5" w:rsidTr="00ED3014">
        <w:tc>
          <w:tcPr>
            <w:tcW w:w="2045" w:type="dxa"/>
          </w:tcPr>
          <w:p w:rsidR="006B2442" w:rsidRPr="005152A0" w:rsidRDefault="006B2442" w:rsidP="00ED3014">
            <w:pPr>
              <w:jc w:val="both"/>
              <w:rPr>
                <w:sz w:val="18"/>
                <w:szCs w:val="18"/>
              </w:rPr>
            </w:pPr>
            <w:r>
              <w:rPr>
                <w:rFonts w:ascii="Calibri" w:hAnsi="Calibri" w:cs="Calibri"/>
                <w:sz w:val="18"/>
                <w:szCs w:val="18"/>
              </w:rPr>
              <w:t>D</w:t>
            </w:r>
            <w:r w:rsidRPr="006B2442">
              <w:rPr>
                <w:rFonts w:ascii="Calibri" w:hAnsi="Calibri" w:cs="Calibri"/>
                <w:sz w:val="18"/>
                <w:szCs w:val="18"/>
              </w:rPr>
              <w:t>okształcanie nauczyci</w:t>
            </w:r>
            <w:r w:rsidRPr="006B2442">
              <w:rPr>
                <w:sz w:val="18"/>
                <w:szCs w:val="18"/>
              </w:rPr>
              <w:t>eli</w:t>
            </w:r>
          </w:p>
        </w:tc>
        <w:tc>
          <w:tcPr>
            <w:tcW w:w="2258" w:type="dxa"/>
          </w:tcPr>
          <w:p w:rsidR="006B2442" w:rsidRPr="002B47D5" w:rsidRDefault="006B2442" w:rsidP="00ED3014">
            <w:pPr>
              <w:jc w:val="both"/>
              <w:rPr>
                <w:sz w:val="18"/>
                <w:szCs w:val="18"/>
              </w:rPr>
            </w:pPr>
            <w:r>
              <w:rPr>
                <w:sz w:val="18"/>
                <w:szCs w:val="18"/>
              </w:rPr>
              <w:t>Szkoły i przedszkola, OWS</w:t>
            </w:r>
          </w:p>
        </w:tc>
        <w:tc>
          <w:tcPr>
            <w:tcW w:w="1812" w:type="dxa"/>
          </w:tcPr>
          <w:p w:rsidR="006B2442" w:rsidRPr="002B47D5" w:rsidRDefault="006B2442" w:rsidP="00ED3014">
            <w:pPr>
              <w:jc w:val="both"/>
              <w:rPr>
                <w:sz w:val="18"/>
                <w:szCs w:val="18"/>
              </w:rPr>
            </w:pPr>
            <w:r>
              <w:rPr>
                <w:sz w:val="18"/>
                <w:szCs w:val="18"/>
              </w:rPr>
              <w:t>Dzieci, uczniowie</w:t>
            </w:r>
          </w:p>
        </w:tc>
        <w:tc>
          <w:tcPr>
            <w:tcW w:w="1418" w:type="dxa"/>
          </w:tcPr>
          <w:p w:rsidR="006B2442" w:rsidRPr="002B47D5" w:rsidRDefault="00FC10DE" w:rsidP="00ED3014">
            <w:pPr>
              <w:jc w:val="both"/>
              <w:rPr>
                <w:sz w:val="18"/>
                <w:szCs w:val="18"/>
              </w:rPr>
            </w:pPr>
            <w:r>
              <w:rPr>
                <w:sz w:val="18"/>
                <w:szCs w:val="18"/>
              </w:rPr>
              <w:t>-</w:t>
            </w:r>
          </w:p>
        </w:tc>
        <w:tc>
          <w:tcPr>
            <w:tcW w:w="1755" w:type="dxa"/>
          </w:tcPr>
          <w:p w:rsidR="006B2442" w:rsidRPr="002B47D5" w:rsidRDefault="006B2442" w:rsidP="00ED3014">
            <w:pPr>
              <w:jc w:val="left"/>
              <w:rPr>
                <w:sz w:val="18"/>
                <w:szCs w:val="18"/>
              </w:rPr>
            </w:pPr>
            <w:r>
              <w:rPr>
                <w:sz w:val="18"/>
                <w:szCs w:val="18"/>
              </w:rPr>
              <w:t>Fundusze unijne środki własne</w:t>
            </w:r>
          </w:p>
        </w:tc>
      </w:tr>
      <w:tr w:rsidR="006B2442" w:rsidRPr="002B47D5" w:rsidTr="00ED3014">
        <w:tc>
          <w:tcPr>
            <w:tcW w:w="2045" w:type="dxa"/>
          </w:tcPr>
          <w:p w:rsidR="006B2442" w:rsidRDefault="006B2442" w:rsidP="00ED3014">
            <w:pPr>
              <w:jc w:val="both"/>
              <w:rPr>
                <w:rFonts w:ascii="Calibri" w:hAnsi="Calibri" w:cs="Calibri"/>
                <w:sz w:val="18"/>
                <w:szCs w:val="18"/>
              </w:rPr>
            </w:pPr>
            <w:r>
              <w:rPr>
                <w:rFonts w:ascii="Calibri" w:hAnsi="Calibri" w:cs="Calibri"/>
                <w:sz w:val="18"/>
                <w:szCs w:val="18"/>
              </w:rPr>
              <w:t>I</w:t>
            </w:r>
            <w:r w:rsidRPr="006B2442">
              <w:rPr>
                <w:rFonts w:ascii="Calibri" w:hAnsi="Calibri" w:cs="Calibri"/>
                <w:sz w:val="18"/>
                <w:szCs w:val="18"/>
              </w:rPr>
              <w:t>nwestycje w pracownie nauki przedmiotu i pomoce dydaktyczne</w:t>
            </w:r>
          </w:p>
        </w:tc>
        <w:tc>
          <w:tcPr>
            <w:tcW w:w="2258" w:type="dxa"/>
          </w:tcPr>
          <w:p w:rsidR="006B2442" w:rsidRPr="002B47D5" w:rsidRDefault="006B2442" w:rsidP="00ED3014">
            <w:pPr>
              <w:jc w:val="both"/>
              <w:rPr>
                <w:sz w:val="18"/>
                <w:szCs w:val="18"/>
              </w:rPr>
            </w:pPr>
            <w:r>
              <w:rPr>
                <w:sz w:val="18"/>
                <w:szCs w:val="18"/>
              </w:rPr>
              <w:t>Szkoły i przedszkola, OWS, Miasto Suwałki</w:t>
            </w:r>
          </w:p>
        </w:tc>
        <w:tc>
          <w:tcPr>
            <w:tcW w:w="1812" w:type="dxa"/>
          </w:tcPr>
          <w:p w:rsidR="006B2442" w:rsidRPr="002B47D5" w:rsidRDefault="006B2442" w:rsidP="00ED3014">
            <w:pPr>
              <w:jc w:val="both"/>
              <w:rPr>
                <w:sz w:val="18"/>
                <w:szCs w:val="18"/>
              </w:rPr>
            </w:pPr>
            <w:r>
              <w:rPr>
                <w:sz w:val="18"/>
                <w:szCs w:val="18"/>
              </w:rPr>
              <w:t>Dzieci, uczniowie</w:t>
            </w:r>
          </w:p>
        </w:tc>
        <w:tc>
          <w:tcPr>
            <w:tcW w:w="1418" w:type="dxa"/>
          </w:tcPr>
          <w:p w:rsidR="006B2442" w:rsidRPr="002B47D5" w:rsidRDefault="00FC10DE" w:rsidP="00ED3014">
            <w:pPr>
              <w:jc w:val="both"/>
              <w:rPr>
                <w:sz w:val="18"/>
                <w:szCs w:val="18"/>
              </w:rPr>
            </w:pPr>
            <w:r>
              <w:rPr>
                <w:sz w:val="18"/>
                <w:szCs w:val="18"/>
              </w:rPr>
              <w:t>-</w:t>
            </w:r>
          </w:p>
        </w:tc>
        <w:tc>
          <w:tcPr>
            <w:tcW w:w="1755" w:type="dxa"/>
          </w:tcPr>
          <w:p w:rsidR="006B2442" w:rsidRPr="002B47D5" w:rsidRDefault="006B2442" w:rsidP="00ED3014">
            <w:pPr>
              <w:jc w:val="left"/>
              <w:rPr>
                <w:sz w:val="18"/>
                <w:szCs w:val="18"/>
              </w:rPr>
            </w:pPr>
            <w:r>
              <w:rPr>
                <w:sz w:val="18"/>
                <w:szCs w:val="18"/>
              </w:rPr>
              <w:t>Fundusze unijne środki własne</w:t>
            </w:r>
          </w:p>
        </w:tc>
      </w:tr>
      <w:tr w:rsidR="006B2442" w:rsidRPr="002B47D5" w:rsidTr="00ED3014">
        <w:tc>
          <w:tcPr>
            <w:tcW w:w="2045" w:type="dxa"/>
          </w:tcPr>
          <w:p w:rsidR="006B2442" w:rsidRDefault="006B2442" w:rsidP="00ED3014">
            <w:pPr>
              <w:jc w:val="both"/>
              <w:rPr>
                <w:rFonts w:ascii="Calibri" w:hAnsi="Calibri" w:cs="Calibri"/>
                <w:sz w:val="18"/>
                <w:szCs w:val="18"/>
              </w:rPr>
            </w:pPr>
            <w:r>
              <w:rPr>
                <w:rFonts w:ascii="Calibri" w:hAnsi="Calibri" w:cs="Calibri"/>
                <w:sz w:val="18"/>
                <w:szCs w:val="18"/>
              </w:rPr>
              <w:t>G</w:t>
            </w:r>
            <w:r w:rsidRPr="006B2442">
              <w:rPr>
                <w:rFonts w:ascii="Calibri" w:hAnsi="Calibri" w:cs="Calibri"/>
                <w:sz w:val="18"/>
                <w:szCs w:val="18"/>
              </w:rPr>
              <w:t>ry edukacyjne</w:t>
            </w:r>
          </w:p>
        </w:tc>
        <w:tc>
          <w:tcPr>
            <w:tcW w:w="2258" w:type="dxa"/>
          </w:tcPr>
          <w:p w:rsidR="006B2442" w:rsidRPr="002B47D5" w:rsidRDefault="006B2442" w:rsidP="00ED3014">
            <w:pPr>
              <w:jc w:val="both"/>
              <w:rPr>
                <w:sz w:val="18"/>
                <w:szCs w:val="18"/>
              </w:rPr>
            </w:pPr>
            <w:r>
              <w:rPr>
                <w:sz w:val="18"/>
                <w:szCs w:val="18"/>
              </w:rPr>
              <w:t>Szkoły i przedszkola, OWS</w:t>
            </w:r>
          </w:p>
        </w:tc>
        <w:tc>
          <w:tcPr>
            <w:tcW w:w="1812" w:type="dxa"/>
          </w:tcPr>
          <w:p w:rsidR="006B2442" w:rsidRPr="002B47D5" w:rsidRDefault="006B2442" w:rsidP="00ED3014">
            <w:pPr>
              <w:jc w:val="both"/>
              <w:rPr>
                <w:sz w:val="18"/>
                <w:szCs w:val="18"/>
              </w:rPr>
            </w:pPr>
            <w:r>
              <w:rPr>
                <w:sz w:val="18"/>
                <w:szCs w:val="18"/>
              </w:rPr>
              <w:t>Dzieci, uczniowie</w:t>
            </w:r>
          </w:p>
        </w:tc>
        <w:tc>
          <w:tcPr>
            <w:tcW w:w="1418" w:type="dxa"/>
          </w:tcPr>
          <w:p w:rsidR="006B2442" w:rsidRPr="002B47D5" w:rsidRDefault="00FC10DE" w:rsidP="00ED3014">
            <w:pPr>
              <w:jc w:val="both"/>
              <w:rPr>
                <w:sz w:val="18"/>
                <w:szCs w:val="18"/>
              </w:rPr>
            </w:pPr>
            <w:r>
              <w:rPr>
                <w:sz w:val="18"/>
                <w:szCs w:val="18"/>
              </w:rPr>
              <w:t>-</w:t>
            </w:r>
          </w:p>
        </w:tc>
        <w:tc>
          <w:tcPr>
            <w:tcW w:w="1755" w:type="dxa"/>
          </w:tcPr>
          <w:p w:rsidR="006B2442" w:rsidRPr="002B47D5" w:rsidRDefault="006B2442" w:rsidP="00ED3014">
            <w:pPr>
              <w:jc w:val="left"/>
              <w:rPr>
                <w:sz w:val="18"/>
                <w:szCs w:val="18"/>
              </w:rPr>
            </w:pPr>
            <w:r>
              <w:rPr>
                <w:sz w:val="18"/>
                <w:szCs w:val="18"/>
              </w:rPr>
              <w:t>Fundusze unijne środki własne</w:t>
            </w:r>
          </w:p>
        </w:tc>
      </w:tr>
    </w:tbl>
    <w:p w:rsidR="00FC3E45" w:rsidRPr="00FC3E45" w:rsidRDefault="00FC3E45" w:rsidP="00FC3E45">
      <w:pPr>
        <w:pStyle w:val="Nagwek3"/>
      </w:pPr>
      <w:bookmarkStart w:id="46" w:name="_Toc390759497"/>
      <w:r>
        <w:t xml:space="preserve">1.4.4. </w:t>
      </w:r>
      <w:r w:rsidR="00D238F9">
        <w:t>Samorząd gospodarczy aktywnym partnerem władz miasta</w:t>
      </w:r>
      <w:bookmarkEnd w:id="46"/>
    </w:p>
    <w:p w:rsidR="00D238F9" w:rsidRDefault="00A3646B" w:rsidP="00D238F9">
      <w:pPr>
        <w:spacing w:line="240" w:lineRule="auto"/>
        <w:jc w:val="both"/>
        <w:rPr>
          <w:lang w:eastAsia="pl-PL"/>
        </w:rPr>
      </w:pPr>
      <w:r>
        <w:rPr>
          <w:lang w:eastAsia="pl-PL"/>
        </w:rPr>
        <w:t xml:space="preserve">Utworzenie </w:t>
      </w:r>
      <w:r w:rsidR="00D238F9">
        <w:rPr>
          <w:lang w:eastAsia="pl-PL"/>
        </w:rPr>
        <w:t>organizacji</w:t>
      </w:r>
      <w:r w:rsidR="002A4851">
        <w:rPr>
          <w:lang w:eastAsia="pl-PL"/>
        </w:rPr>
        <w:t xml:space="preserve"> reprezentującej interesy</w:t>
      </w:r>
      <w:r>
        <w:rPr>
          <w:lang w:eastAsia="pl-PL"/>
        </w:rPr>
        <w:t xml:space="preserve"> suwalskich przedsiębiorców</w:t>
      </w:r>
      <w:r w:rsidR="00D0591E">
        <w:rPr>
          <w:lang w:eastAsia="pl-PL"/>
        </w:rPr>
        <w:t>, będącej rozwinięciem i kontynuacją organu doradczego funkcjonującego przy Prezydencie Miasta Suwałk jakim jest Rada Gospodarcza,</w:t>
      </w:r>
      <w:r>
        <w:rPr>
          <w:lang w:eastAsia="pl-PL"/>
        </w:rPr>
        <w:t xml:space="preserve"> </w:t>
      </w:r>
      <w:r w:rsidR="00D238F9">
        <w:rPr>
          <w:lang w:eastAsia="pl-PL"/>
        </w:rPr>
        <w:t xml:space="preserve">jest niezbędne z uwagi na </w:t>
      </w:r>
      <w:r w:rsidR="00D238F9" w:rsidRPr="00584ECF">
        <w:rPr>
          <w:lang w:eastAsia="pl-PL"/>
        </w:rPr>
        <w:t>znaczenie rozwoju przedsiębiorczości dla aktywizacji społeczno-gospodarczej miasta i tworzenia nowych miejsc pracy</w:t>
      </w:r>
      <w:r w:rsidR="00D238F9">
        <w:rPr>
          <w:lang w:eastAsia="pl-PL"/>
        </w:rPr>
        <w:t xml:space="preserve">. Jest to szczególnie istotne biorąc pod uwagę charakter wsparcia ze strony UE, </w:t>
      </w:r>
      <w:r w:rsidR="00D238F9" w:rsidRPr="00773ECB">
        <w:rPr>
          <w:lang w:eastAsia="pl-PL"/>
        </w:rPr>
        <w:t xml:space="preserve">którego znaczna część będzie przeznaczona na działania ukierunkowane na rozwój przedsiębiorczości m.in. szkolenia i kursy zawodowe, badania i rozwój, tworzenie </w:t>
      </w:r>
      <w:proofErr w:type="spellStart"/>
      <w:r w:rsidR="00D238F9" w:rsidRPr="00773ECB">
        <w:rPr>
          <w:lang w:eastAsia="pl-PL"/>
        </w:rPr>
        <w:t>start-upó</w:t>
      </w:r>
      <w:r w:rsidR="00D238F9">
        <w:rPr>
          <w:lang w:eastAsia="pl-PL"/>
        </w:rPr>
        <w:t>w</w:t>
      </w:r>
      <w:proofErr w:type="spellEnd"/>
      <w:r w:rsidR="00D238F9">
        <w:rPr>
          <w:lang w:eastAsia="pl-PL"/>
        </w:rPr>
        <w:t>, rozwój nowych technologii, etc</w:t>
      </w:r>
      <w:r w:rsidR="00D238F9" w:rsidRPr="00773ECB">
        <w:rPr>
          <w:lang w:eastAsia="pl-PL"/>
        </w:rPr>
        <w:t xml:space="preserve">. </w:t>
      </w:r>
    </w:p>
    <w:p w:rsidR="00D238F9" w:rsidRPr="00773ECB" w:rsidRDefault="00D238F9" w:rsidP="00D238F9">
      <w:pPr>
        <w:spacing w:line="240" w:lineRule="auto"/>
        <w:jc w:val="both"/>
        <w:rPr>
          <w:lang w:eastAsia="pl-PL"/>
        </w:rPr>
      </w:pPr>
      <w:r w:rsidRPr="00773ECB">
        <w:rPr>
          <w:lang w:eastAsia="pl-PL"/>
        </w:rPr>
        <w:t xml:space="preserve">Jednocześnie, w ciągu najbliższych kilku lat w mieście i regionie planowana jest realizacja dużych inwestycji m.in. budowa trasy Via </w:t>
      </w:r>
      <w:proofErr w:type="spellStart"/>
      <w:r w:rsidRPr="00773ECB">
        <w:rPr>
          <w:lang w:eastAsia="pl-PL"/>
        </w:rPr>
        <w:t>Baltica</w:t>
      </w:r>
      <w:proofErr w:type="spellEnd"/>
      <w:r w:rsidRPr="00773ECB">
        <w:rPr>
          <w:lang w:eastAsia="pl-PL"/>
        </w:rPr>
        <w:t xml:space="preserve"> wraz z obwodnicą Suwałk, trasy kolejowej </w:t>
      </w:r>
      <w:proofErr w:type="spellStart"/>
      <w:r w:rsidRPr="00773ECB">
        <w:rPr>
          <w:lang w:eastAsia="pl-PL"/>
        </w:rPr>
        <w:t>Rail</w:t>
      </w:r>
      <w:proofErr w:type="spellEnd"/>
      <w:r w:rsidRPr="00773ECB">
        <w:rPr>
          <w:lang w:eastAsia="pl-PL"/>
        </w:rPr>
        <w:t xml:space="preserve"> </w:t>
      </w:r>
      <w:proofErr w:type="spellStart"/>
      <w:r w:rsidRPr="00773ECB">
        <w:rPr>
          <w:lang w:eastAsia="pl-PL"/>
        </w:rPr>
        <w:t>Baltica</w:t>
      </w:r>
      <w:proofErr w:type="spellEnd"/>
      <w:r w:rsidRPr="00773ECB">
        <w:rPr>
          <w:lang w:eastAsia="pl-PL"/>
        </w:rPr>
        <w:t>, lotn</w:t>
      </w:r>
      <w:r>
        <w:rPr>
          <w:lang w:eastAsia="pl-PL"/>
        </w:rPr>
        <w:t>iska komunikacyjnego, przygotowanie</w:t>
      </w:r>
      <w:r w:rsidRPr="00773ECB">
        <w:rPr>
          <w:lang w:eastAsia="pl-PL"/>
        </w:rPr>
        <w:t xml:space="preserve"> nowych terenów inwestycyjnych, które wpłyną na znaczną poprawę warunków prowadzenia działalności gospodarczej w mieście i regionie, przyczyniając się do podniesienia atrakcyjności inwestycyjnej Suwałk. Tym samym </w:t>
      </w:r>
      <w:r>
        <w:rPr>
          <w:lang w:eastAsia="pl-PL"/>
        </w:rPr>
        <w:t xml:space="preserve">miasto </w:t>
      </w:r>
      <w:r w:rsidRPr="00773ECB">
        <w:rPr>
          <w:lang w:eastAsia="pl-PL"/>
        </w:rPr>
        <w:t>ma szansę zmniejszenia zaległości rozwojowych w stosunku do innych części kraju. W pracach tych powinno brać czynny udział środowisko przedsiębiorców poprzez udział w konsultacjach społecznych i zgłaszanie stosownych opinii i wniosków za pośrednictwem organizacji zrzeszającej suwalskich przedsiębiorców.</w:t>
      </w:r>
    </w:p>
    <w:p w:rsidR="000B32F8" w:rsidRPr="00D0591E" w:rsidRDefault="00D238F9" w:rsidP="00D0591E">
      <w:pPr>
        <w:spacing w:line="240" w:lineRule="auto"/>
        <w:jc w:val="both"/>
      </w:pPr>
      <w:r>
        <w:t xml:space="preserve">Na podstawie badania ankietowego przeprowadzonego </w:t>
      </w:r>
      <w:r w:rsidR="00FA1328">
        <w:t xml:space="preserve">wśród suwalskich </w:t>
      </w:r>
      <w:r>
        <w:t>przedsiębiorców</w:t>
      </w:r>
      <w:r>
        <w:rPr>
          <w:rStyle w:val="Odwoanieprzypisudolnego"/>
        </w:rPr>
        <w:footnoteReference w:id="19"/>
      </w:r>
      <w:r>
        <w:t xml:space="preserve"> można stwierdzić, że przedsiębiorcy są w największym stopniu zainteresowani reprezentacją </w:t>
      </w:r>
      <w:r w:rsidRPr="000F522D">
        <w:t>w kontaktach z administracją samorządową i rządową</w:t>
      </w:r>
      <w:r>
        <w:t>, p</w:t>
      </w:r>
      <w:r w:rsidRPr="000F522D">
        <w:t>rowadzenie</w:t>
      </w:r>
      <w:r>
        <w:t>m</w:t>
      </w:r>
      <w:r w:rsidRPr="000F522D">
        <w:t xml:space="preserve"> działań promujących przedsiębiorczość w Suwałkach</w:t>
      </w:r>
      <w:r>
        <w:t xml:space="preserve">, </w:t>
      </w:r>
      <w:r w:rsidRPr="000F522D">
        <w:t>pomoc</w:t>
      </w:r>
      <w:r>
        <w:t>ą</w:t>
      </w:r>
      <w:r w:rsidRPr="000F522D">
        <w:t xml:space="preserve"> w pozyskiwaniu zewnętrznych źródeł finansowania</w:t>
      </w:r>
      <w:r>
        <w:t xml:space="preserve">, </w:t>
      </w:r>
      <w:r w:rsidRPr="000F522D">
        <w:t>dzi</w:t>
      </w:r>
      <w:r>
        <w:t>ałaniami</w:t>
      </w:r>
      <w:r w:rsidRPr="000F522D">
        <w:t xml:space="preserve"> na rzecz rozwoju i podnoszenia poziomu kształcenia zawodowego</w:t>
      </w:r>
      <w:r>
        <w:t>, możliwością</w:t>
      </w:r>
      <w:r w:rsidRPr="000F522D">
        <w:t xml:space="preserve"> spotkania i uczestnictwa w dyskusji ze znanymi przedstawicielami środowiska biznesu/polityki</w:t>
      </w:r>
      <w:r>
        <w:t>.</w:t>
      </w:r>
    </w:p>
    <w:tbl>
      <w:tblPr>
        <w:tblStyle w:val="Tabela-Siatka"/>
        <w:tblW w:w="0" w:type="auto"/>
        <w:tblLook w:val="04A0"/>
      </w:tblPr>
      <w:tblGrid>
        <w:gridCol w:w="2045"/>
        <w:gridCol w:w="2258"/>
        <w:gridCol w:w="1812"/>
        <w:gridCol w:w="1418"/>
        <w:gridCol w:w="1755"/>
      </w:tblGrid>
      <w:tr w:rsidR="00FC3E45" w:rsidRPr="002B47D5" w:rsidTr="00ED3014">
        <w:tc>
          <w:tcPr>
            <w:tcW w:w="2045" w:type="dxa"/>
            <w:shd w:val="clear" w:color="auto" w:fill="4F81BD" w:themeFill="accent1"/>
          </w:tcPr>
          <w:p w:rsidR="00FC3E45" w:rsidRPr="002B47D5" w:rsidRDefault="00FC3E45" w:rsidP="00ED3014">
            <w:pPr>
              <w:rPr>
                <w:color w:val="FFFFFF" w:themeColor="background1"/>
                <w:sz w:val="18"/>
                <w:szCs w:val="18"/>
              </w:rPr>
            </w:pPr>
            <w:r>
              <w:rPr>
                <w:color w:val="FFFFFF" w:themeColor="background1"/>
                <w:sz w:val="18"/>
                <w:szCs w:val="18"/>
              </w:rPr>
              <w:t>Działanie</w:t>
            </w:r>
          </w:p>
        </w:tc>
        <w:tc>
          <w:tcPr>
            <w:tcW w:w="2258" w:type="dxa"/>
            <w:shd w:val="clear" w:color="auto" w:fill="4F81BD" w:themeFill="accent1"/>
          </w:tcPr>
          <w:p w:rsidR="00FC3E45" w:rsidRPr="002B47D5" w:rsidRDefault="00FC3E45" w:rsidP="00ED3014">
            <w:pPr>
              <w:rPr>
                <w:color w:val="FFFFFF" w:themeColor="background1"/>
                <w:sz w:val="18"/>
                <w:szCs w:val="18"/>
              </w:rPr>
            </w:pPr>
            <w:r>
              <w:rPr>
                <w:color w:val="FFFFFF" w:themeColor="background1"/>
                <w:sz w:val="18"/>
                <w:szCs w:val="18"/>
              </w:rPr>
              <w:t>Podmioty odpowiedzialne</w:t>
            </w:r>
          </w:p>
        </w:tc>
        <w:tc>
          <w:tcPr>
            <w:tcW w:w="1812" w:type="dxa"/>
            <w:shd w:val="clear" w:color="auto" w:fill="4F81BD" w:themeFill="accent1"/>
          </w:tcPr>
          <w:p w:rsidR="00FC3E45" w:rsidRPr="002B47D5" w:rsidRDefault="00FC3E45" w:rsidP="00ED3014">
            <w:pPr>
              <w:rPr>
                <w:color w:val="FFFFFF" w:themeColor="background1"/>
                <w:sz w:val="18"/>
                <w:szCs w:val="18"/>
              </w:rPr>
            </w:pPr>
            <w:r>
              <w:rPr>
                <w:color w:val="FFFFFF" w:themeColor="background1"/>
                <w:sz w:val="18"/>
                <w:szCs w:val="18"/>
              </w:rPr>
              <w:t>Grupy docelowe</w:t>
            </w:r>
          </w:p>
        </w:tc>
        <w:tc>
          <w:tcPr>
            <w:tcW w:w="1418" w:type="dxa"/>
            <w:shd w:val="clear" w:color="auto" w:fill="4F81BD" w:themeFill="accent1"/>
          </w:tcPr>
          <w:p w:rsidR="00FC3E45" w:rsidRDefault="00FC3E45" w:rsidP="00ED3014">
            <w:pPr>
              <w:rPr>
                <w:color w:val="FFFFFF" w:themeColor="background1"/>
                <w:sz w:val="18"/>
                <w:szCs w:val="18"/>
              </w:rPr>
            </w:pPr>
            <w:r>
              <w:rPr>
                <w:color w:val="FFFFFF" w:themeColor="background1"/>
                <w:sz w:val="18"/>
                <w:szCs w:val="18"/>
              </w:rPr>
              <w:t>Koszt</w:t>
            </w:r>
          </w:p>
        </w:tc>
        <w:tc>
          <w:tcPr>
            <w:tcW w:w="1755" w:type="dxa"/>
            <w:shd w:val="clear" w:color="auto" w:fill="4F81BD" w:themeFill="accent1"/>
          </w:tcPr>
          <w:p w:rsidR="00FC3E45" w:rsidRPr="002B47D5" w:rsidRDefault="00FC3E45" w:rsidP="00ED3014">
            <w:pPr>
              <w:rPr>
                <w:color w:val="FFFFFF" w:themeColor="background1"/>
                <w:sz w:val="18"/>
                <w:szCs w:val="18"/>
              </w:rPr>
            </w:pPr>
            <w:r>
              <w:rPr>
                <w:color w:val="FFFFFF" w:themeColor="background1"/>
                <w:sz w:val="18"/>
                <w:szCs w:val="18"/>
              </w:rPr>
              <w:t>Źródła finansowania</w:t>
            </w:r>
          </w:p>
        </w:tc>
      </w:tr>
      <w:tr w:rsidR="00FC3E45" w:rsidRPr="002B47D5" w:rsidTr="00ED3014">
        <w:tc>
          <w:tcPr>
            <w:tcW w:w="2045" w:type="dxa"/>
          </w:tcPr>
          <w:p w:rsidR="00FC3E45" w:rsidRPr="005152A0" w:rsidRDefault="00FC3E45" w:rsidP="00E502B3">
            <w:pPr>
              <w:jc w:val="left"/>
              <w:rPr>
                <w:sz w:val="18"/>
                <w:szCs w:val="18"/>
              </w:rPr>
            </w:pPr>
            <w:r>
              <w:rPr>
                <w:sz w:val="18"/>
                <w:szCs w:val="18"/>
              </w:rPr>
              <w:t>Wspólne akcje promujące zachowania i postawy przedsiębiorcze samorządu i Miasta Suwałk</w:t>
            </w:r>
          </w:p>
        </w:tc>
        <w:tc>
          <w:tcPr>
            <w:tcW w:w="2258" w:type="dxa"/>
          </w:tcPr>
          <w:p w:rsidR="00FC3E45" w:rsidRPr="002B47D5" w:rsidRDefault="00FC3E45" w:rsidP="00E502B3">
            <w:pPr>
              <w:jc w:val="left"/>
              <w:rPr>
                <w:sz w:val="18"/>
                <w:szCs w:val="18"/>
              </w:rPr>
            </w:pPr>
            <w:r>
              <w:rPr>
                <w:sz w:val="18"/>
                <w:szCs w:val="18"/>
              </w:rPr>
              <w:t>Miasto Suwałki, samorząd gospodarczy</w:t>
            </w:r>
          </w:p>
        </w:tc>
        <w:tc>
          <w:tcPr>
            <w:tcW w:w="1812" w:type="dxa"/>
          </w:tcPr>
          <w:p w:rsidR="00FC3E45" w:rsidRPr="002B47D5" w:rsidRDefault="00FC3E45" w:rsidP="00E502B3">
            <w:pPr>
              <w:jc w:val="left"/>
              <w:rPr>
                <w:sz w:val="18"/>
                <w:szCs w:val="18"/>
              </w:rPr>
            </w:pPr>
            <w:r>
              <w:rPr>
                <w:sz w:val="18"/>
                <w:szCs w:val="18"/>
              </w:rPr>
              <w:t>Przedsiębiorcy, obywatele Suwałk</w:t>
            </w:r>
          </w:p>
        </w:tc>
        <w:tc>
          <w:tcPr>
            <w:tcW w:w="1418" w:type="dxa"/>
          </w:tcPr>
          <w:p w:rsidR="00FC3E45" w:rsidRPr="002B47D5" w:rsidRDefault="00FC10DE" w:rsidP="00E502B3">
            <w:pPr>
              <w:jc w:val="left"/>
              <w:rPr>
                <w:sz w:val="18"/>
                <w:szCs w:val="18"/>
              </w:rPr>
            </w:pPr>
            <w:r>
              <w:rPr>
                <w:sz w:val="18"/>
                <w:szCs w:val="18"/>
              </w:rPr>
              <w:t>-</w:t>
            </w:r>
          </w:p>
        </w:tc>
        <w:tc>
          <w:tcPr>
            <w:tcW w:w="1755" w:type="dxa"/>
          </w:tcPr>
          <w:p w:rsidR="00FC3E45" w:rsidRDefault="00FC3E45" w:rsidP="00E502B3">
            <w:pPr>
              <w:jc w:val="left"/>
            </w:pPr>
            <w:r w:rsidRPr="00C95A79">
              <w:rPr>
                <w:sz w:val="18"/>
                <w:szCs w:val="18"/>
              </w:rPr>
              <w:t>Fundusze unijne</w:t>
            </w:r>
          </w:p>
        </w:tc>
      </w:tr>
      <w:tr w:rsidR="00392930" w:rsidRPr="002B47D5" w:rsidTr="00ED3014">
        <w:tc>
          <w:tcPr>
            <w:tcW w:w="2045" w:type="dxa"/>
          </w:tcPr>
          <w:p w:rsidR="00392930" w:rsidRDefault="00392930" w:rsidP="00E502B3">
            <w:pPr>
              <w:jc w:val="left"/>
              <w:rPr>
                <w:sz w:val="18"/>
                <w:szCs w:val="18"/>
              </w:rPr>
            </w:pPr>
            <w:r>
              <w:rPr>
                <w:sz w:val="18"/>
                <w:szCs w:val="18"/>
              </w:rPr>
              <w:t>Promocja suwalskich przedsiębiorców w miastach partnerskich Suwałk</w:t>
            </w:r>
          </w:p>
        </w:tc>
        <w:tc>
          <w:tcPr>
            <w:tcW w:w="2258" w:type="dxa"/>
          </w:tcPr>
          <w:p w:rsidR="00392930" w:rsidRDefault="00392930" w:rsidP="00E502B3">
            <w:pPr>
              <w:jc w:val="left"/>
              <w:rPr>
                <w:sz w:val="18"/>
                <w:szCs w:val="18"/>
              </w:rPr>
            </w:pPr>
            <w:r>
              <w:rPr>
                <w:sz w:val="18"/>
                <w:szCs w:val="18"/>
              </w:rPr>
              <w:t>Miasto Suwałki, samorząd gospodarczy</w:t>
            </w:r>
          </w:p>
        </w:tc>
        <w:tc>
          <w:tcPr>
            <w:tcW w:w="1812" w:type="dxa"/>
          </w:tcPr>
          <w:p w:rsidR="00392930" w:rsidRDefault="00392930" w:rsidP="00E502B3">
            <w:pPr>
              <w:jc w:val="left"/>
              <w:rPr>
                <w:sz w:val="18"/>
                <w:szCs w:val="18"/>
              </w:rPr>
            </w:pPr>
            <w:r>
              <w:rPr>
                <w:sz w:val="18"/>
                <w:szCs w:val="18"/>
              </w:rPr>
              <w:t>Społeczność z miast partnerskich</w:t>
            </w:r>
          </w:p>
        </w:tc>
        <w:tc>
          <w:tcPr>
            <w:tcW w:w="1418" w:type="dxa"/>
          </w:tcPr>
          <w:p w:rsidR="00392930" w:rsidRPr="002B47D5" w:rsidRDefault="00FC10DE" w:rsidP="00E502B3">
            <w:pPr>
              <w:jc w:val="left"/>
              <w:rPr>
                <w:sz w:val="18"/>
                <w:szCs w:val="18"/>
              </w:rPr>
            </w:pPr>
            <w:r>
              <w:rPr>
                <w:sz w:val="18"/>
                <w:szCs w:val="18"/>
              </w:rPr>
              <w:t>-</w:t>
            </w:r>
          </w:p>
        </w:tc>
        <w:tc>
          <w:tcPr>
            <w:tcW w:w="1755" w:type="dxa"/>
          </w:tcPr>
          <w:p w:rsidR="00392930" w:rsidRPr="00C95A79" w:rsidRDefault="00FC10DE" w:rsidP="00E502B3">
            <w:pPr>
              <w:jc w:val="left"/>
              <w:rPr>
                <w:sz w:val="18"/>
                <w:szCs w:val="18"/>
              </w:rPr>
            </w:pPr>
            <w:r>
              <w:rPr>
                <w:sz w:val="18"/>
                <w:szCs w:val="18"/>
              </w:rPr>
              <w:t xml:space="preserve">Środki własne, miasta i </w:t>
            </w:r>
            <w:r w:rsidR="00392930">
              <w:rPr>
                <w:sz w:val="18"/>
                <w:szCs w:val="18"/>
              </w:rPr>
              <w:t>samorządu gospodarczego</w:t>
            </w:r>
          </w:p>
        </w:tc>
      </w:tr>
      <w:tr w:rsidR="009C0191" w:rsidRPr="002B47D5" w:rsidTr="00ED3014">
        <w:tc>
          <w:tcPr>
            <w:tcW w:w="2045" w:type="dxa"/>
          </w:tcPr>
          <w:p w:rsidR="009C0191" w:rsidRDefault="009C0191" w:rsidP="00E502B3">
            <w:pPr>
              <w:jc w:val="left"/>
              <w:rPr>
                <w:sz w:val="18"/>
                <w:szCs w:val="18"/>
              </w:rPr>
            </w:pPr>
            <w:r>
              <w:rPr>
                <w:sz w:val="18"/>
                <w:szCs w:val="18"/>
              </w:rPr>
              <w:t>R</w:t>
            </w:r>
            <w:r w:rsidR="00FC10DE">
              <w:rPr>
                <w:sz w:val="18"/>
                <w:szCs w:val="18"/>
              </w:rPr>
              <w:t>eprezentacja</w:t>
            </w:r>
            <w:r w:rsidRPr="009C0191">
              <w:rPr>
                <w:sz w:val="18"/>
                <w:szCs w:val="18"/>
              </w:rPr>
              <w:t xml:space="preserve"> suwalskich przedsiębiorców w kontaktach z administracją </w:t>
            </w:r>
          </w:p>
        </w:tc>
        <w:tc>
          <w:tcPr>
            <w:tcW w:w="2258" w:type="dxa"/>
          </w:tcPr>
          <w:p w:rsidR="009C0191" w:rsidRPr="002B47D5" w:rsidRDefault="00FA1328" w:rsidP="00E502B3">
            <w:pPr>
              <w:jc w:val="left"/>
              <w:rPr>
                <w:sz w:val="18"/>
                <w:szCs w:val="18"/>
              </w:rPr>
            </w:pPr>
            <w:r>
              <w:rPr>
                <w:sz w:val="18"/>
                <w:szCs w:val="18"/>
              </w:rPr>
              <w:t>Samorząd gospodarczy, Miasto Suwałki</w:t>
            </w:r>
            <w:r w:rsidR="009C0191">
              <w:rPr>
                <w:sz w:val="18"/>
                <w:szCs w:val="18"/>
              </w:rPr>
              <w:t xml:space="preserve"> </w:t>
            </w:r>
          </w:p>
        </w:tc>
        <w:tc>
          <w:tcPr>
            <w:tcW w:w="1812" w:type="dxa"/>
          </w:tcPr>
          <w:p w:rsidR="009C0191" w:rsidRPr="002B47D5" w:rsidRDefault="009C0191" w:rsidP="00E502B3">
            <w:pPr>
              <w:jc w:val="left"/>
              <w:rPr>
                <w:sz w:val="18"/>
                <w:szCs w:val="18"/>
              </w:rPr>
            </w:pPr>
            <w:r>
              <w:rPr>
                <w:sz w:val="18"/>
                <w:szCs w:val="18"/>
              </w:rPr>
              <w:t xml:space="preserve">Przedsiębiorcy, </w:t>
            </w:r>
          </w:p>
        </w:tc>
        <w:tc>
          <w:tcPr>
            <w:tcW w:w="1418" w:type="dxa"/>
          </w:tcPr>
          <w:p w:rsidR="009C0191" w:rsidRPr="002B47D5" w:rsidRDefault="00FC10DE" w:rsidP="00E502B3">
            <w:pPr>
              <w:jc w:val="left"/>
              <w:rPr>
                <w:sz w:val="18"/>
                <w:szCs w:val="18"/>
              </w:rPr>
            </w:pPr>
            <w:r>
              <w:rPr>
                <w:sz w:val="18"/>
                <w:szCs w:val="18"/>
              </w:rPr>
              <w:t>-</w:t>
            </w:r>
          </w:p>
        </w:tc>
        <w:tc>
          <w:tcPr>
            <w:tcW w:w="1755" w:type="dxa"/>
          </w:tcPr>
          <w:p w:rsidR="009C0191" w:rsidRDefault="009C0191" w:rsidP="00E502B3">
            <w:pPr>
              <w:jc w:val="left"/>
            </w:pPr>
            <w:r w:rsidRPr="00C95A79">
              <w:rPr>
                <w:sz w:val="18"/>
                <w:szCs w:val="18"/>
              </w:rPr>
              <w:t>Fundusze unijne, środki własne</w:t>
            </w:r>
            <w:r w:rsidR="00FA1328">
              <w:rPr>
                <w:sz w:val="18"/>
                <w:szCs w:val="18"/>
              </w:rPr>
              <w:t>, składki przedsiębiorców.</w:t>
            </w:r>
          </w:p>
        </w:tc>
      </w:tr>
      <w:tr w:rsidR="009C0191" w:rsidRPr="002B47D5" w:rsidTr="00ED3014">
        <w:tc>
          <w:tcPr>
            <w:tcW w:w="2045" w:type="dxa"/>
          </w:tcPr>
          <w:p w:rsidR="009C0191" w:rsidRDefault="009C0191" w:rsidP="00E502B3">
            <w:pPr>
              <w:jc w:val="left"/>
              <w:rPr>
                <w:sz w:val="18"/>
                <w:szCs w:val="18"/>
              </w:rPr>
            </w:pPr>
            <w:r>
              <w:rPr>
                <w:sz w:val="18"/>
                <w:szCs w:val="18"/>
              </w:rPr>
              <w:t>Rozwój i podnoszenie</w:t>
            </w:r>
            <w:r w:rsidRPr="009C0191">
              <w:rPr>
                <w:sz w:val="18"/>
                <w:szCs w:val="18"/>
              </w:rPr>
              <w:t xml:space="preserve"> poziomu kształcenia zawodowego</w:t>
            </w:r>
          </w:p>
        </w:tc>
        <w:tc>
          <w:tcPr>
            <w:tcW w:w="2258" w:type="dxa"/>
          </w:tcPr>
          <w:p w:rsidR="009C0191" w:rsidRPr="002B47D5" w:rsidRDefault="009C0191" w:rsidP="00E502B3">
            <w:pPr>
              <w:jc w:val="left"/>
              <w:rPr>
                <w:sz w:val="18"/>
                <w:szCs w:val="18"/>
              </w:rPr>
            </w:pPr>
            <w:r>
              <w:rPr>
                <w:sz w:val="18"/>
                <w:szCs w:val="18"/>
              </w:rPr>
              <w:t>Miasto Suwałki, samorząd gospodarczy</w:t>
            </w:r>
          </w:p>
        </w:tc>
        <w:tc>
          <w:tcPr>
            <w:tcW w:w="1812" w:type="dxa"/>
          </w:tcPr>
          <w:p w:rsidR="009C0191" w:rsidRPr="002B47D5" w:rsidRDefault="009C0191" w:rsidP="00E502B3">
            <w:pPr>
              <w:jc w:val="left"/>
              <w:rPr>
                <w:sz w:val="18"/>
                <w:szCs w:val="18"/>
              </w:rPr>
            </w:pPr>
            <w:r>
              <w:rPr>
                <w:sz w:val="18"/>
                <w:szCs w:val="18"/>
              </w:rPr>
              <w:t xml:space="preserve">Przedsiębiorcy, </w:t>
            </w:r>
          </w:p>
        </w:tc>
        <w:tc>
          <w:tcPr>
            <w:tcW w:w="1418" w:type="dxa"/>
          </w:tcPr>
          <w:p w:rsidR="009C0191" w:rsidRPr="002B47D5" w:rsidRDefault="00FC10DE" w:rsidP="00E502B3">
            <w:pPr>
              <w:jc w:val="left"/>
              <w:rPr>
                <w:sz w:val="18"/>
                <w:szCs w:val="18"/>
              </w:rPr>
            </w:pPr>
            <w:r>
              <w:rPr>
                <w:sz w:val="18"/>
                <w:szCs w:val="18"/>
              </w:rPr>
              <w:t>-</w:t>
            </w:r>
          </w:p>
        </w:tc>
        <w:tc>
          <w:tcPr>
            <w:tcW w:w="1755" w:type="dxa"/>
          </w:tcPr>
          <w:p w:rsidR="009C0191" w:rsidRDefault="009C0191" w:rsidP="00E502B3">
            <w:pPr>
              <w:jc w:val="left"/>
            </w:pPr>
            <w:r w:rsidRPr="00C95A79">
              <w:rPr>
                <w:sz w:val="18"/>
                <w:szCs w:val="18"/>
              </w:rPr>
              <w:t xml:space="preserve">Fundusze unijne, środki własne </w:t>
            </w:r>
          </w:p>
        </w:tc>
      </w:tr>
      <w:tr w:rsidR="009C0191" w:rsidRPr="002B47D5" w:rsidTr="00ED3014">
        <w:tc>
          <w:tcPr>
            <w:tcW w:w="2045" w:type="dxa"/>
          </w:tcPr>
          <w:p w:rsidR="009C0191" w:rsidRDefault="009C0191" w:rsidP="00E502B3">
            <w:pPr>
              <w:jc w:val="left"/>
              <w:rPr>
                <w:sz w:val="18"/>
                <w:szCs w:val="18"/>
              </w:rPr>
            </w:pPr>
            <w:r>
              <w:rPr>
                <w:sz w:val="18"/>
                <w:szCs w:val="18"/>
              </w:rPr>
              <w:t>Ośrodek spotkań i dyskusji z przedstawicielami środowisk biznesowych i politycznych</w:t>
            </w:r>
          </w:p>
        </w:tc>
        <w:tc>
          <w:tcPr>
            <w:tcW w:w="2258" w:type="dxa"/>
          </w:tcPr>
          <w:p w:rsidR="009C0191" w:rsidRPr="002B47D5" w:rsidRDefault="00FA1328" w:rsidP="00E502B3">
            <w:pPr>
              <w:jc w:val="left"/>
              <w:rPr>
                <w:sz w:val="18"/>
                <w:szCs w:val="18"/>
              </w:rPr>
            </w:pPr>
            <w:r>
              <w:rPr>
                <w:sz w:val="18"/>
                <w:szCs w:val="18"/>
              </w:rPr>
              <w:t xml:space="preserve">Samorząd gospodarczy, </w:t>
            </w:r>
            <w:r w:rsidR="009C0191">
              <w:rPr>
                <w:sz w:val="18"/>
                <w:szCs w:val="18"/>
              </w:rPr>
              <w:t>Miasto Suwałki</w:t>
            </w:r>
            <w:r>
              <w:rPr>
                <w:sz w:val="18"/>
                <w:szCs w:val="18"/>
              </w:rPr>
              <w:t>.</w:t>
            </w:r>
          </w:p>
        </w:tc>
        <w:tc>
          <w:tcPr>
            <w:tcW w:w="1812" w:type="dxa"/>
          </w:tcPr>
          <w:p w:rsidR="009C0191" w:rsidRPr="002B47D5" w:rsidRDefault="009C0191" w:rsidP="00E502B3">
            <w:pPr>
              <w:jc w:val="left"/>
              <w:rPr>
                <w:sz w:val="18"/>
                <w:szCs w:val="18"/>
              </w:rPr>
            </w:pPr>
            <w:r>
              <w:rPr>
                <w:sz w:val="18"/>
                <w:szCs w:val="18"/>
              </w:rPr>
              <w:t xml:space="preserve">Przedsiębiorcy, </w:t>
            </w:r>
          </w:p>
        </w:tc>
        <w:tc>
          <w:tcPr>
            <w:tcW w:w="1418" w:type="dxa"/>
          </w:tcPr>
          <w:p w:rsidR="009C0191" w:rsidRPr="002B47D5" w:rsidRDefault="00FC10DE" w:rsidP="00E502B3">
            <w:pPr>
              <w:jc w:val="left"/>
              <w:rPr>
                <w:sz w:val="18"/>
                <w:szCs w:val="18"/>
              </w:rPr>
            </w:pPr>
            <w:r>
              <w:rPr>
                <w:sz w:val="18"/>
                <w:szCs w:val="18"/>
              </w:rPr>
              <w:t>-</w:t>
            </w:r>
          </w:p>
        </w:tc>
        <w:tc>
          <w:tcPr>
            <w:tcW w:w="1755" w:type="dxa"/>
          </w:tcPr>
          <w:p w:rsidR="009C0191" w:rsidRDefault="009C0191" w:rsidP="00E502B3">
            <w:pPr>
              <w:jc w:val="left"/>
            </w:pPr>
            <w:r w:rsidRPr="00C95A79">
              <w:rPr>
                <w:sz w:val="18"/>
                <w:szCs w:val="18"/>
              </w:rPr>
              <w:t xml:space="preserve">Fundusze unijne, środki własne </w:t>
            </w:r>
          </w:p>
        </w:tc>
      </w:tr>
    </w:tbl>
    <w:p w:rsidR="00743531" w:rsidRDefault="00743531" w:rsidP="00743531">
      <w:pPr>
        <w:pStyle w:val="Nagwek3"/>
      </w:pPr>
      <w:bookmarkStart w:id="47" w:name="_Toc390759498"/>
      <w:r>
        <w:t xml:space="preserve">1.4.5. Polityka gospodarowania lokalami </w:t>
      </w:r>
      <w:r w:rsidR="00AA426D">
        <w:t xml:space="preserve">mieszkalnymi i </w:t>
      </w:r>
      <w:r>
        <w:t>użytkowymi</w:t>
      </w:r>
      <w:bookmarkEnd w:id="47"/>
    </w:p>
    <w:p w:rsidR="00743531" w:rsidRDefault="00743531" w:rsidP="00743531">
      <w:pPr>
        <w:spacing w:after="0" w:line="240" w:lineRule="auto"/>
        <w:jc w:val="both"/>
      </w:pPr>
    </w:p>
    <w:p w:rsidR="00AA426D" w:rsidRDefault="00743531" w:rsidP="00743531">
      <w:pPr>
        <w:spacing w:after="0" w:line="240" w:lineRule="auto"/>
        <w:jc w:val="both"/>
      </w:pPr>
      <w:r>
        <w:t xml:space="preserve">Prowadzenie działalności gospodarczej, szczególnie w pierwszym, krytycznym </w:t>
      </w:r>
      <w:r w:rsidR="00AA426D">
        <w:t>okresie obarczone</w:t>
      </w:r>
      <w:r>
        <w:t xml:space="preserve"> jest</w:t>
      </w:r>
      <w:r w:rsidR="00AA426D">
        <w:t xml:space="preserve"> wieloma rodzajami ryzyka. W celu jego zmniejszenia proponuje się następujące działania:</w:t>
      </w:r>
    </w:p>
    <w:p w:rsidR="00AA426D" w:rsidRDefault="00AA426D" w:rsidP="00743531">
      <w:pPr>
        <w:spacing w:after="0" w:line="240" w:lineRule="auto"/>
        <w:jc w:val="both"/>
      </w:pPr>
    </w:p>
    <w:p w:rsidR="00426F6A" w:rsidRDefault="00426F6A" w:rsidP="00426F6A">
      <w:pPr>
        <w:pStyle w:val="Nagwek4"/>
      </w:pPr>
      <w:r>
        <w:t>1.4.5.1. Mieszkania dla studentów i absolwentów</w:t>
      </w:r>
    </w:p>
    <w:p w:rsidR="0067495C" w:rsidRDefault="00426F6A" w:rsidP="00426F6A">
      <w:pPr>
        <w:spacing w:after="0" w:line="240" w:lineRule="auto"/>
        <w:jc w:val="both"/>
      </w:pPr>
      <w:r>
        <w:t>Władze miasta przewidują utworzenie mechanizm</w:t>
      </w:r>
      <w:r w:rsidR="00FC10DE">
        <w:t>u</w:t>
      </w:r>
      <w:r>
        <w:t xml:space="preserve"> umożliwiającego</w:t>
      </w:r>
      <w:r w:rsidR="00AA426D">
        <w:t xml:space="preserve"> przyznawanie</w:t>
      </w:r>
      <w:r w:rsidR="00743531" w:rsidRPr="00743531">
        <w:t xml:space="preserve"> mieszkania </w:t>
      </w:r>
      <w:r w:rsidR="00332EC0">
        <w:t xml:space="preserve">studentom ostatniego </w:t>
      </w:r>
      <w:r w:rsidR="0067495C">
        <w:t>roku studiów oraz</w:t>
      </w:r>
      <w:r w:rsidR="00743531" w:rsidRPr="00743531">
        <w:t xml:space="preserve"> absolwentom decydującym się na rozpoczęcie w Suwałkach działalności gospodarczej</w:t>
      </w:r>
      <w:r w:rsidR="00AA426D">
        <w:t xml:space="preserve">. </w:t>
      </w:r>
    </w:p>
    <w:p w:rsidR="0067495C" w:rsidRDefault="0067495C" w:rsidP="00426F6A">
      <w:pPr>
        <w:spacing w:after="0" w:line="240" w:lineRule="auto"/>
        <w:jc w:val="both"/>
      </w:pPr>
    </w:p>
    <w:p w:rsidR="00743531" w:rsidRDefault="00332EC0" w:rsidP="00426F6A">
      <w:pPr>
        <w:spacing w:after="0" w:line="240" w:lineRule="auto"/>
        <w:jc w:val="both"/>
      </w:pPr>
      <w:r>
        <w:t>Zakłada</w:t>
      </w:r>
      <w:r w:rsidR="00AA426D">
        <w:t xml:space="preserve"> </w:t>
      </w:r>
      <w:r>
        <w:t>się, że w ramach komunalnego zasobu gminy</w:t>
      </w:r>
      <w:r w:rsidR="00AA426D">
        <w:t xml:space="preserve"> </w:t>
      </w:r>
      <w:r w:rsidR="00C54F4C">
        <w:t>wydzielona zostanie pula</w:t>
      </w:r>
      <w:r>
        <w:t xml:space="preserve"> mieszkań przyznawanych </w:t>
      </w:r>
      <w:r w:rsidR="00FA1328">
        <w:t xml:space="preserve">na okres prowadzenia działalności gospodarczej, jednak nie dłużej niż </w:t>
      </w:r>
      <w:r w:rsidR="00321E16">
        <w:t xml:space="preserve">na </w:t>
      </w:r>
      <w:r w:rsidR="00FA1328">
        <w:t>3 lata</w:t>
      </w:r>
      <w:r w:rsidR="0067495C">
        <w:t>.</w:t>
      </w:r>
    </w:p>
    <w:p w:rsidR="0067495C" w:rsidRDefault="0067495C" w:rsidP="00426F6A">
      <w:pPr>
        <w:spacing w:after="0" w:line="240" w:lineRule="auto"/>
        <w:jc w:val="both"/>
      </w:pPr>
    </w:p>
    <w:p w:rsidR="0067495C" w:rsidRDefault="00FC10DE" w:rsidP="0067495C">
      <w:pPr>
        <w:spacing w:after="0" w:line="240" w:lineRule="auto"/>
        <w:jc w:val="both"/>
        <w:rPr>
          <w:rStyle w:val="Pogrubienie"/>
          <w:b w:val="0"/>
          <w:bCs w:val="0"/>
        </w:rPr>
      </w:pPr>
      <w:r>
        <w:t>D</w:t>
      </w:r>
      <w:r w:rsidR="0067495C">
        <w:t xml:space="preserve">o ubiegania się o lokal będą </w:t>
      </w:r>
      <w:r>
        <w:t xml:space="preserve">uprawnieni </w:t>
      </w:r>
      <w:r w:rsidR="00332EC0">
        <w:t>najzdolniejsi studenci ostatniego</w:t>
      </w:r>
      <w:r w:rsidR="0067495C">
        <w:t xml:space="preserve"> roku studiów oraz absolwenci sz</w:t>
      </w:r>
      <w:r w:rsidR="00332EC0">
        <w:t>kół wyższych w wieku do 30 lat</w:t>
      </w:r>
      <w:r w:rsidR="0067495C">
        <w:t xml:space="preserve">, którzy prowadzą </w:t>
      </w:r>
      <w:r w:rsidR="000B32F8">
        <w:t>lub rozpoczną prowadzenie na terenie Suwałk działalności gospodarczej</w:t>
      </w:r>
      <w:r w:rsidR="0067495C">
        <w:t xml:space="preserve"> w dziedzinach i zawodach uznawanych na terenie Miasta za priorytetowe, bądź deficytowe oraz </w:t>
      </w:r>
      <w:r w:rsidR="000B32F8">
        <w:t>będą ją prowadzili</w:t>
      </w:r>
      <w:r w:rsidR="0067495C">
        <w:t xml:space="preserve"> w okresie trwania umowy najmu lokalu komunalnego. Dodatkowo </w:t>
      </w:r>
      <w:r>
        <w:t xml:space="preserve">przyznanie mieszkania tym osobom będzie opiniowane </w:t>
      </w:r>
      <w:r>
        <w:rPr>
          <w:rFonts w:ascii="Calibri" w:eastAsia="Calibri" w:hAnsi="Calibri" w:cs="Times New Roman"/>
        </w:rPr>
        <w:t>przez</w:t>
      </w:r>
      <w:r w:rsidR="0067495C">
        <w:rPr>
          <w:rFonts w:ascii="Calibri" w:eastAsia="Calibri" w:hAnsi="Calibri" w:cs="Times New Roman"/>
        </w:rPr>
        <w:t xml:space="preserve"> </w:t>
      </w:r>
      <w:r>
        <w:rPr>
          <w:rStyle w:val="Pogrubienie"/>
          <w:rFonts w:ascii="Calibri" w:eastAsia="Calibri" w:hAnsi="Calibri" w:cs="Times New Roman"/>
          <w:b w:val="0"/>
          <w:bCs w:val="0"/>
        </w:rPr>
        <w:t>Komisję</w:t>
      </w:r>
      <w:r w:rsidR="0067495C">
        <w:rPr>
          <w:rStyle w:val="Pogrubienie"/>
          <w:rFonts w:ascii="Calibri" w:eastAsia="Calibri" w:hAnsi="Calibri" w:cs="Times New Roman"/>
          <w:b w:val="0"/>
          <w:bCs w:val="0"/>
        </w:rPr>
        <w:t xml:space="preserve"> Strategii i Rozwoju Gospodarczego Rady Miejskiej w Suwałkach</w:t>
      </w:r>
      <w:r w:rsidR="0067495C">
        <w:rPr>
          <w:rStyle w:val="Pogrubienie"/>
          <w:b w:val="0"/>
          <w:bCs w:val="0"/>
        </w:rPr>
        <w:t>.</w:t>
      </w:r>
    </w:p>
    <w:p w:rsidR="00332EC0" w:rsidRDefault="00332EC0" w:rsidP="0067495C">
      <w:pPr>
        <w:spacing w:after="0" w:line="240" w:lineRule="auto"/>
        <w:jc w:val="both"/>
        <w:rPr>
          <w:rStyle w:val="Pogrubienie"/>
          <w:b w:val="0"/>
          <w:bCs w:val="0"/>
        </w:rPr>
      </w:pPr>
    </w:p>
    <w:p w:rsidR="00332EC0" w:rsidRDefault="00332EC0" w:rsidP="0067495C">
      <w:pPr>
        <w:spacing w:after="0" w:line="240" w:lineRule="auto"/>
        <w:jc w:val="both"/>
        <w:rPr>
          <w:rStyle w:val="Pogrubienie"/>
          <w:b w:val="0"/>
          <w:bCs w:val="0"/>
        </w:rPr>
      </w:pPr>
      <w:r>
        <w:rPr>
          <w:rStyle w:val="Pogrubienie"/>
          <w:b w:val="0"/>
          <w:bCs w:val="0"/>
        </w:rPr>
        <w:t>Szczegółowe warunki przyznawania mieszkań określi uchwała Rady Miejskiej</w:t>
      </w:r>
      <w:r w:rsidR="000B32F8">
        <w:rPr>
          <w:rStyle w:val="Pogrubienie"/>
          <w:b w:val="0"/>
          <w:bCs w:val="0"/>
        </w:rPr>
        <w:t xml:space="preserve"> w Suwałkach</w:t>
      </w:r>
      <w:r>
        <w:rPr>
          <w:rStyle w:val="Pogrubienie"/>
          <w:b w:val="0"/>
          <w:bCs w:val="0"/>
        </w:rPr>
        <w:t>.</w:t>
      </w:r>
    </w:p>
    <w:p w:rsidR="008038DA" w:rsidRDefault="008038DA" w:rsidP="00D0591E">
      <w:pPr>
        <w:spacing w:after="0" w:line="240" w:lineRule="auto"/>
        <w:jc w:val="both"/>
      </w:pPr>
    </w:p>
    <w:tbl>
      <w:tblPr>
        <w:tblStyle w:val="Tabela-Siatka"/>
        <w:tblW w:w="0" w:type="auto"/>
        <w:tblLook w:val="04A0"/>
      </w:tblPr>
      <w:tblGrid>
        <w:gridCol w:w="2045"/>
        <w:gridCol w:w="2258"/>
        <w:gridCol w:w="1812"/>
        <w:gridCol w:w="1418"/>
        <w:gridCol w:w="1755"/>
      </w:tblGrid>
      <w:tr w:rsidR="00AA426D" w:rsidRPr="002B47D5" w:rsidTr="00AA426D">
        <w:tc>
          <w:tcPr>
            <w:tcW w:w="2045" w:type="dxa"/>
            <w:shd w:val="clear" w:color="auto" w:fill="4F81BD" w:themeFill="accent1"/>
          </w:tcPr>
          <w:p w:rsidR="00AA426D" w:rsidRPr="002B47D5" w:rsidRDefault="00AA426D" w:rsidP="00AA426D">
            <w:pPr>
              <w:rPr>
                <w:color w:val="FFFFFF" w:themeColor="background1"/>
                <w:sz w:val="18"/>
                <w:szCs w:val="18"/>
              </w:rPr>
            </w:pPr>
            <w:r>
              <w:rPr>
                <w:color w:val="FFFFFF" w:themeColor="background1"/>
                <w:sz w:val="18"/>
                <w:szCs w:val="18"/>
              </w:rPr>
              <w:t>Działanie</w:t>
            </w:r>
          </w:p>
        </w:tc>
        <w:tc>
          <w:tcPr>
            <w:tcW w:w="2258" w:type="dxa"/>
            <w:shd w:val="clear" w:color="auto" w:fill="4F81BD" w:themeFill="accent1"/>
          </w:tcPr>
          <w:p w:rsidR="00AA426D" w:rsidRPr="002B47D5" w:rsidRDefault="00AA426D" w:rsidP="00AA426D">
            <w:pPr>
              <w:rPr>
                <w:color w:val="FFFFFF" w:themeColor="background1"/>
                <w:sz w:val="18"/>
                <w:szCs w:val="18"/>
              </w:rPr>
            </w:pPr>
            <w:r>
              <w:rPr>
                <w:color w:val="FFFFFF" w:themeColor="background1"/>
                <w:sz w:val="18"/>
                <w:szCs w:val="18"/>
              </w:rPr>
              <w:t>Podmioty odpowiedzialne</w:t>
            </w:r>
          </w:p>
        </w:tc>
        <w:tc>
          <w:tcPr>
            <w:tcW w:w="1812" w:type="dxa"/>
            <w:shd w:val="clear" w:color="auto" w:fill="4F81BD" w:themeFill="accent1"/>
          </w:tcPr>
          <w:p w:rsidR="00AA426D" w:rsidRPr="002B47D5" w:rsidRDefault="00AA426D" w:rsidP="00AA426D">
            <w:pPr>
              <w:rPr>
                <w:color w:val="FFFFFF" w:themeColor="background1"/>
                <w:sz w:val="18"/>
                <w:szCs w:val="18"/>
              </w:rPr>
            </w:pPr>
            <w:r>
              <w:rPr>
                <w:color w:val="FFFFFF" w:themeColor="background1"/>
                <w:sz w:val="18"/>
                <w:szCs w:val="18"/>
              </w:rPr>
              <w:t>Grupy docelowe</w:t>
            </w:r>
          </w:p>
        </w:tc>
        <w:tc>
          <w:tcPr>
            <w:tcW w:w="1418" w:type="dxa"/>
            <w:shd w:val="clear" w:color="auto" w:fill="4F81BD" w:themeFill="accent1"/>
          </w:tcPr>
          <w:p w:rsidR="00AA426D" w:rsidRDefault="00AA426D" w:rsidP="00AA426D">
            <w:pPr>
              <w:rPr>
                <w:color w:val="FFFFFF" w:themeColor="background1"/>
                <w:sz w:val="18"/>
                <w:szCs w:val="18"/>
              </w:rPr>
            </w:pPr>
            <w:r>
              <w:rPr>
                <w:color w:val="FFFFFF" w:themeColor="background1"/>
                <w:sz w:val="18"/>
                <w:szCs w:val="18"/>
              </w:rPr>
              <w:t>Koszt</w:t>
            </w:r>
          </w:p>
        </w:tc>
        <w:tc>
          <w:tcPr>
            <w:tcW w:w="1755" w:type="dxa"/>
            <w:shd w:val="clear" w:color="auto" w:fill="4F81BD" w:themeFill="accent1"/>
          </w:tcPr>
          <w:p w:rsidR="00AA426D" w:rsidRPr="002B47D5" w:rsidRDefault="00AA426D" w:rsidP="00AA426D">
            <w:pPr>
              <w:rPr>
                <w:color w:val="FFFFFF" w:themeColor="background1"/>
                <w:sz w:val="18"/>
                <w:szCs w:val="18"/>
              </w:rPr>
            </w:pPr>
            <w:r>
              <w:rPr>
                <w:color w:val="FFFFFF" w:themeColor="background1"/>
                <w:sz w:val="18"/>
                <w:szCs w:val="18"/>
              </w:rPr>
              <w:t>Źródła finansowania</w:t>
            </w:r>
          </w:p>
        </w:tc>
      </w:tr>
      <w:tr w:rsidR="00AA426D" w:rsidRPr="002B47D5" w:rsidTr="00AA426D">
        <w:tc>
          <w:tcPr>
            <w:tcW w:w="2045" w:type="dxa"/>
          </w:tcPr>
          <w:p w:rsidR="00AA426D" w:rsidRPr="005152A0" w:rsidRDefault="00AA426D" w:rsidP="00AA426D">
            <w:pPr>
              <w:jc w:val="both"/>
              <w:rPr>
                <w:sz w:val="18"/>
                <w:szCs w:val="18"/>
              </w:rPr>
            </w:pPr>
            <w:r>
              <w:rPr>
                <w:sz w:val="18"/>
                <w:szCs w:val="18"/>
              </w:rPr>
              <w:t>Mieszkania dla młodych przedsiębiorców</w:t>
            </w:r>
          </w:p>
        </w:tc>
        <w:tc>
          <w:tcPr>
            <w:tcW w:w="2258" w:type="dxa"/>
          </w:tcPr>
          <w:p w:rsidR="00AA426D" w:rsidRPr="002B47D5" w:rsidRDefault="00AA426D" w:rsidP="00AA426D">
            <w:pPr>
              <w:jc w:val="both"/>
              <w:rPr>
                <w:sz w:val="18"/>
                <w:szCs w:val="18"/>
              </w:rPr>
            </w:pPr>
            <w:r>
              <w:rPr>
                <w:sz w:val="18"/>
                <w:szCs w:val="18"/>
              </w:rPr>
              <w:t>ZBM, UM</w:t>
            </w:r>
          </w:p>
        </w:tc>
        <w:tc>
          <w:tcPr>
            <w:tcW w:w="1812" w:type="dxa"/>
          </w:tcPr>
          <w:p w:rsidR="00AA426D" w:rsidRPr="002B47D5" w:rsidRDefault="00AA426D" w:rsidP="00AA426D">
            <w:pPr>
              <w:jc w:val="both"/>
              <w:rPr>
                <w:sz w:val="18"/>
                <w:szCs w:val="18"/>
              </w:rPr>
            </w:pPr>
            <w:r>
              <w:rPr>
                <w:sz w:val="18"/>
                <w:szCs w:val="18"/>
              </w:rPr>
              <w:t>Przedsiębiorcy</w:t>
            </w:r>
          </w:p>
        </w:tc>
        <w:tc>
          <w:tcPr>
            <w:tcW w:w="1418" w:type="dxa"/>
          </w:tcPr>
          <w:p w:rsidR="00AA426D" w:rsidRPr="002B47D5" w:rsidRDefault="006073BC" w:rsidP="00AA426D">
            <w:pPr>
              <w:jc w:val="both"/>
              <w:rPr>
                <w:sz w:val="18"/>
                <w:szCs w:val="18"/>
              </w:rPr>
            </w:pPr>
            <w:r>
              <w:rPr>
                <w:sz w:val="18"/>
                <w:szCs w:val="18"/>
              </w:rPr>
              <w:t>-</w:t>
            </w:r>
          </w:p>
        </w:tc>
        <w:tc>
          <w:tcPr>
            <w:tcW w:w="1755" w:type="dxa"/>
          </w:tcPr>
          <w:p w:rsidR="00AA426D" w:rsidRPr="002B47D5" w:rsidRDefault="00AA426D" w:rsidP="00AA426D">
            <w:pPr>
              <w:jc w:val="left"/>
              <w:rPr>
                <w:sz w:val="18"/>
                <w:szCs w:val="18"/>
              </w:rPr>
            </w:pPr>
            <w:r>
              <w:rPr>
                <w:sz w:val="18"/>
                <w:szCs w:val="18"/>
              </w:rPr>
              <w:t>Środki własne</w:t>
            </w:r>
          </w:p>
        </w:tc>
      </w:tr>
    </w:tbl>
    <w:p w:rsidR="00AA426D" w:rsidRPr="00743531" w:rsidRDefault="00AA426D" w:rsidP="00743531">
      <w:pPr>
        <w:spacing w:after="0" w:line="240" w:lineRule="auto"/>
        <w:jc w:val="both"/>
      </w:pPr>
    </w:p>
    <w:p w:rsidR="00F34CF7" w:rsidRDefault="00A3646B" w:rsidP="00743531">
      <w:pPr>
        <w:pStyle w:val="Nagwek2"/>
      </w:pPr>
      <w:bookmarkStart w:id="48" w:name="_Toc390759499"/>
      <w:r>
        <w:t>Cel operacyjny 1.5 Wsparcie sektorów kluczowych dla Miasta</w:t>
      </w:r>
      <w:bookmarkEnd w:id="48"/>
    </w:p>
    <w:p w:rsidR="00A3646B" w:rsidRDefault="00A3646B" w:rsidP="00A3646B">
      <w:pPr>
        <w:spacing w:line="240" w:lineRule="auto"/>
        <w:jc w:val="both"/>
      </w:pPr>
      <w:r>
        <w:t>Koncentracja interwencji publicznej na kilku dobrze rozwiniętych potencjałach lokalnych wpisuje się w koncepcję tzw. inteligentnej specjalizacji i priorytety stawiane przez Komisję Europejską na lata 2014-2020. Wsparcie kilku kluczowych dla Suwałk sektorów wychodzi naprzeciw tym oczekiwaniom. Działania władz lokalnych będą koncentrować się na dwóch kierunkach działań: zwiększeniu dopasowania kierunków kształcenia do potrzeb sektorów kluczowych oraz wzmocnieniu potencjału turystycznego, poprzez wsparcie rozwoju turystyki biznesowej.</w:t>
      </w:r>
    </w:p>
    <w:p w:rsidR="00A7457A" w:rsidRDefault="00A3646B" w:rsidP="00CC3FE7">
      <w:pPr>
        <w:jc w:val="both"/>
      </w:pPr>
      <w:r>
        <w:t>Cel będzie wdrażany przez następujące kierunki działań:</w:t>
      </w:r>
    </w:p>
    <w:p w:rsidR="00C54F4C" w:rsidRDefault="00C54F4C" w:rsidP="00A3646B">
      <w:pPr>
        <w:pStyle w:val="Nagwek3"/>
        <w:spacing w:before="0"/>
        <w:jc w:val="both"/>
      </w:pPr>
    </w:p>
    <w:p w:rsidR="00A3646B" w:rsidRDefault="00A3646B" w:rsidP="00A3646B">
      <w:pPr>
        <w:pStyle w:val="Nagwek3"/>
        <w:spacing w:before="0"/>
        <w:jc w:val="both"/>
      </w:pPr>
      <w:bookmarkStart w:id="49" w:name="_Toc390759500"/>
      <w:r>
        <w:t>1.5.1. Opracowanie programu kształcenia i wdrożenie kierunków nauczania dopasowanych do potrzeb sektorów kluczowych gospodarki Suwałk</w:t>
      </w:r>
      <w:bookmarkEnd w:id="49"/>
    </w:p>
    <w:p w:rsidR="00A3646B" w:rsidRDefault="00A3646B" w:rsidP="00A3646B">
      <w:pPr>
        <w:spacing w:after="0" w:line="240" w:lineRule="auto"/>
        <w:jc w:val="both"/>
      </w:pPr>
    </w:p>
    <w:p w:rsidR="00DA186C" w:rsidRDefault="009A2CC1" w:rsidP="00A3646B">
      <w:pPr>
        <w:spacing w:after="0" w:line="240" w:lineRule="auto"/>
        <w:jc w:val="both"/>
      </w:pPr>
      <w:r>
        <w:t>Jednym z celów europejskiej polityki spójności wyrażonym w dokumencie „Strategia Europa 2020” jest rozwój gospodarki opartej na wiedzy i innowacjach. Wśród 5 celów zdefiniowanych dla UE są m.in.: 75% wskaźnik zatrudnienia dla grupy wiekowej 20-64</w:t>
      </w:r>
      <w:r w:rsidR="00DA186C">
        <w:t xml:space="preserve">, obniżenie udziału młodzieży kończącej wcześniej edukację poniżej 10% oraz osiągnięcie min. 40% udziału osób w wieku 34-40 lat kończących edukację na poziomie wyższym. </w:t>
      </w:r>
      <w:r>
        <w:t>System edukacji odgrywa pierwszorzędną rolę w kreowaniu gospodarki opartej na wiedzy.</w:t>
      </w:r>
      <w:r w:rsidR="00DA186C">
        <w:t xml:space="preserve"> </w:t>
      </w:r>
      <w:r w:rsidR="0038259F">
        <w:t>Dlatego też s</w:t>
      </w:r>
      <w:r w:rsidR="00727BC5">
        <w:t xml:space="preserve">trategia rozwoju </w:t>
      </w:r>
      <w:r w:rsidR="00AB6C4B">
        <w:t>dostrzega znaczącą</w:t>
      </w:r>
      <w:r w:rsidR="0001149A">
        <w:t xml:space="preserve"> rolę</w:t>
      </w:r>
      <w:r w:rsidR="00727BC5">
        <w:t xml:space="preserve"> </w:t>
      </w:r>
      <w:r w:rsidR="00AB6C4B">
        <w:t>d</w:t>
      </w:r>
      <w:r w:rsidR="00727BC5">
        <w:t>ziała</w:t>
      </w:r>
      <w:r w:rsidR="00AB6C4B">
        <w:t xml:space="preserve">ń edukacyjno-oświatowych w zakresie pobudzania lokalnej przedsiębiorczości. </w:t>
      </w:r>
    </w:p>
    <w:p w:rsidR="00A3646B" w:rsidRPr="00A3646B" w:rsidRDefault="00A3646B" w:rsidP="00A3646B">
      <w:pPr>
        <w:spacing w:after="0" w:line="240" w:lineRule="auto"/>
        <w:jc w:val="both"/>
      </w:pPr>
    </w:p>
    <w:p w:rsidR="00F35AC3" w:rsidRDefault="00DA186C" w:rsidP="00A22A10">
      <w:pPr>
        <w:spacing w:line="240" w:lineRule="auto"/>
        <w:jc w:val="both"/>
        <w:rPr>
          <w:rFonts w:ascii="Calibri" w:hAnsi="Calibri" w:cs="Calibri"/>
        </w:rPr>
      </w:pPr>
      <w:r w:rsidRPr="00DA186C">
        <w:rPr>
          <w:rFonts w:ascii="Calibri" w:hAnsi="Calibri" w:cs="Calibri"/>
        </w:rPr>
        <w:t xml:space="preserve">Polscy pracodawcy wymieniają trudność znalezienia pracowników o potrzebnych im kompetencjach jako jedną z głównych barier rozwoju swoich firm. </w:t>
      </w:r>
      <w:r w:rsidR="00F35AC3">
        <w:rPr>
          <w:rFonts w:ascii="Calibri" w:hAnsi="Calibri" w:cs="Calibri"/>
        </w:rPr>
        <w:t>Liczne przedsiębiorstwa, także te działające na rynku lokalnym, muszą zmierzyć się z sytuacją braku odpowiednich kadr. Deficyt pracowników nie ma charakteru ilościowego a jakościowy z uwagi na fakt, że zarówno bezrobotni jak i osoby opuszczające system edukacji nie dysponują odpowiednimi kompetencjami i umiejętnościami kluczowymi, które mogłyby zapewnić im zatrudnienie</w:t>
      </w:r>
      <w:r w:rsidR="00E66918">
        <w:rPr>
          <w:rStyle w:val="Odwoanieprzypisudolnego"/>
          <w:rFonts w:ascii="Calibri" w:hAnsi="Calibri" w:cs="Calibri"/>
        </w:rPr>
        <w:footnoteReference w:id="20"/>
      </w:r>
      <w:r w:rsidR="00F35AC3">
        <w:rPr>
          <w:rFonts w:ascii="Calibri" w:hAnsi="Calibri" w:cs="Calibri"/>
        </w:rPr>
        <w:t xml:space="preserve">. </w:t>
      </w:r>
    </w:p>
    <w:p w:rsidR="00DA186C" w:rsidRDefault="00F35AC3" w:rsidP="00A22A10">
      <w:pPr>
        <w:spacing w:line="240" w:lineRule="auto"/>
        <w:jc w:val="both"/>
        <w:rPr>
          <w:rFonts w:ascii="Calibri" w:hAnsi="Calibri" w:cs="Calibri"/>
        </w:rPr>
      </w:pPr>
      <w:r>
        <w:rPr>
          <w:rFonts w:ascii="Calibri" w:hAnsi="Calibri" w:cs="Calibri"/>
        </w:rPr>
        <w:t xml:space="preserve">W tej sytuacji należy wspierać </w:t>
      </w:r>
      <w:r w:rsidR="00E66918">
        <w:rPr>
          <w:rFonts w:ascii="Calibri" w:hAnsi="Calibri" w:cs="Calibri"/>
        </w:rPr>
        <w:t xml:space="preserve">zarówno rozwój </w:t>
      </w:r>
      <w:r w:rsidR="00DA186C" w:rsidRPr="00DA186C">
        <w:rPr>
          <w:rFonts w:ascii="Calibri" w:hAnsi="Calibri" w:cs="Calibri"/>
        </w:rPr>
        <w:t xml:space="preserve">kompetencji kluczowych, </w:t>
      </w:r>
      <w:r w:rsidR="00DA186C" w:rsidRPr="00F35AC3">
        <w:rPr>
          <w:rFonts w:ascii="Calibri" w:hAnsi="Calibri" w:cs="Calibri"/>
        </w:rPr>
        <w:t>które następnie można uzupełniać o kompetencje specjalistycz</w:t>
      </w:r>
      <w:r>
        <w:rPr>
          <w:rFonts w:ascii="Calibri" w:hAnsi="Calibri" w:cs="Calibri"/>
        </w:rPr>
        <w:t>ne na wszystkich etapach życia w ramach kształcenia</w:t>
      </w:r>
      <w:r w:rsidR="00DA186C" w:rsidRPr="00F35AC3">
        <w:rPr>
          <w:rFonts w:ascii="Calibri" w:hAnsi="Calibri" w:cs="Calibri"/>
        </w:rPr>
        <w:t xml:space="preserve"> ustawicz</w:t>
      </w:r>
      <w:r>
        <w:rPr>
          <w:rFonts w:ascii="Calibri" w:hAnsi="Calibri" w:cs="Calibri"/>
        </w:rPr>
        <w:t>nego</w:t>
      </w:r>
      <w:r w:rsidR="00A3646B">
        <w:rPr>
          <w:rFonts w:ascii="Calibri" w:hAnsi="Calibri" w:cs="Calibri"/>
        </w:rPr>
        <w:t xml:space="preserve"> i specjalistycznego</w:t>
      </w:r>
      <w:r w:rsidR="007123BD">
        <w:rPr>
          <w:rFonts w:ascii="Calibri" w:hAnsi="Calibri" w:cs="Calibri"/>
        </w:rPr>
        <w:t>,</w:t>
      </w:r>
      <w:r w:rsidR="00E66918">
        <w:rPr>
          <w:rFonts w:ascii="Calibri" w:hAnsi="Calibri" w:cs="Calibri"/>
        </w:rPr>
        <w:t xml:space="preserve"> jak i </w:t>
      </w:r>
      <w:r w:rsidR="00DA186C" w:rsidRPr="00F35AC3">
        <w:rPr>
          <w:rFonts w:ascii="Calibri" w:hAnsi="Calibri" w:cs="Calibri"/>
        </w:rPr>
        <w:t>kształcenie i szkolenie zawodowe</w:t>
      </w:r>
      <w:r w:rsidR="00DA186C" w:rsidRPr="00DA186C">
        <w:rPr>
          <w:rFonts w:ascii="Calibri" w:hAnsi="Calibri" w:cs="Calibri"/>
        </w:rPr>
        <w:t>, które po jego unowocześnieniu powinno być w stanie nadążać za zmieniającym się rynkiem pracy.</w:t>
      </w:r>
    </w:p>
    <w:p w:rsidR="00E66918" w:rsidRDefault="00143056" w:rsidP="00A22A10">
      <w:pPr>
        <w:spacing w:line="240" w:lineRule="auto"/>
        <w:jc w:val="both"/>
      </w:pPr>
      <w:r>
        <w:t>W związku z powyższym władze Miasta przewidują prowadzenie działań zarówno dotyczących unowocześnienia bazy technicznej placówek oświatowych poprzez wyposażenie i uzupełnienie w pomoce dydaktyczne pracowni przedmiotowych, dających możliwość odpowiedniego kształcenia na każdym poziomie nauczania</w:t>
      </w:r>
      <w:r w:rsidR="007123BD">
        <w:t>,</w:t>
      </w:r>
      <w:r>
        <w:t xml:space="preserve"> jak również wdrożenie kierunków nauczania lepiej dopasowanych do potrzeb sektorów kluczowych gospodarki Suwałk</w:t>
      </w:r>
      <w:r w:rsidR="0038259F">
        <w:rPr>
          <w:rStyle w:val="Odwoanieprzypisudolnego"/>
        </w:rPr>
        <w:footnoteReference w:id="21"/>
      </w:r>
      <w:r>
        <w:t>.</w:t>
      </w:r>
    </w:p>
    <w:p w:rsidR="00FA1328" w:rsidRDefault="0038259F" w:rsidP="00A22A10">
      <w:pPr>
        <w:spacing w:line="240" w:lineRule="auto"/>
        <w:jc w:val="both"/>
      </w:pPr>
      <w:r>
        <w:t>Pierwszym krokiem w kierunku lepszego skoordynowania oferty edukacyjnej do potrzeb gospodarki lokalnej było zorganizowanie w dniu 24.02.</w:t>
      </w:r>
      <w:r w:rsidR="00E502B3">
        <w:t>20</w:t>
      </w:r>
      <w:r>
        <w:t>14 r. konferencji poświęconej kierunkom kształcenia zawodowego w Suwałkach, w której wzięli udział przedstawiciele suwalskich szkół, PWSZ oraz suwalscy przedsiębiorcy.</w:t>
      </w:r>
      <w:r w:rsidR="00FA1328">
        <w:t xml:space="preserve"> Konsekwencją spotkania były dalsze bardziej szczegółowe rozmowy prowadzone m.in. z firmami Animex i Padma Art., których celem było utworzenie stałej współpracy pomiędzy pracodawcami i szkołami zawodowymi kształcącymi w specjalnościach zgodnych z pożądanym przez te firmy profilem absolwenta.</w:t>
      </w:r>
    </w:p>
    <w:p w:rsidR="00FA399B" w:rsidRDefault="00FA399B" w:rsidP="00A22A10">
      <w:pPr>
        <w:spacing w:line="240" w:lineRule="auto"/>
        <w:jc w:val="both"/>
      </w:pPr>
      <w:r>
        <w:t xml:space="preserve">Oprócz działań koordynacyjnych niezbędne będą kompleksowe działania inwestycyjne oraz programowe w suwalskich szkołach zawodowych w celu lepszego dopasowania profilu absolwenta do potrzeb lokalnej gospodarki.  </w:t>
      </w:r>
    </w:p>
    <w:p w:rsidR="00DC2291" w:rsidRDefault="00FA399B" w:rsidP="00DC2291">
      <w:pPr>
        <w:spacing w:after="0" w:line="240" w:lineRule="auto"/>
        <w:jc w:val="both"/>
      </w:pPr>
      <w:r>
        <w:t xml:space="preserve">W celu zapewnienia rozwoju kształcenia zawodowego w Suwałkach </w:t>
      </w:r>
      <w:r w:rsidR="00DC2291">
        <w:t>zakłada się:</w:t>
      </w:r>
    </w:p>
    <w:p w:rsidR="00DC2291" w:rsidRDefault="00D3021C" w:rsidP="00227E3C">
      <w:pPr>
        <w:pStyle w:val="Akapitzlist"/>
        <w:numPr>
          <w:ilvl w:val="0"/>
          <w:numId w:val="13"/>
        </w:numPr>
        <w:spacing w:after="0" w:line="240" w:lineRule="auto"/>
        <w:ind w:left="360"/>
        <w:jc w:val="both"/>
      </w:pPr>
      <w:r>
        <w:t>O</w:t>
      </w:r>
      <w:r w:rsidR="00B96136">
        <w:t xml:space="preserve">pracowanie i wdrożenie </w:t>
      </w:r>
      <w:r w:rsidR="00B96136" w:rsidRPr="00B96136">
        <w:rPr>
          <w:b/>
          <w:i/>
        </w:rPr>
        <w:t>P</w:t>
      </w:r>
      <w:r w:rsidR="00DC2291" w:rsidRPr="00B96136">
        <w:rPr>
          <w:b/>
          <w:i/>
        </w:rPr>
        <w:t xml:space="preserve">rogramu </w:t>
      </w:r>
      <w:r w:rsidR="00B96136" w:rsidRPr="00B96136">
        <w:rPr>
          <w:b/>
          <w:i/>
        </w:rPr>
        <w:t>kształcenia</w:t>
      </w:r>
      <w:r w:rsidR="00DC2291" w:rsidRPr="00B96136">
        <w:rPr>
          <w:b/>
          <w:i/>
        </w:rPr>
        <w:t xml:space="preserve"> zawodowe</w:t>
      </w:r>
      <w:r w:rsidR="00B96136" w:rsidRPr="00B96136">
        <w:rPr>
          <w:b/>
          <w:i/>
        </w:rPr>
        <w:t>go w Mieście Suwałki</w:t>
      </w:r>
      <w:r w:rsidR="00C54F4C">
        <w:rPr>
          <w:b/>
          <w:i/>
        </w:rPr>
        <w:t xml:space="preserve"> </w:t>
      </w:r>
      <w:r w:rsidR="00C54F4C">
        <w:t>stanowią</w:t>
      </w:r>
      <w:r w:rsidR="00663B42">
        <w:t>cego część „Strategii Oświaty Miasta Suwałk do roku 2020”</w:t>
      </w:r>
      <w:r w:rsidR="00DC2291">
        <w:t xml:space="preserve">. </w:t>
      </w:r>
      <w:r w:rsidR="00B96136">
        <w:t>Celem programu będzie lepsze dopasowanie oferty kształcenia do potrzeb lokalnego rynku pracy i lepsza współpraca szkół z pracodawcami</w:t>
      </w:r>
      <w:r w:rsidR="00DC2291">
        <w:t xml:space="preserve"> </w:t>
      </w:r>
      <w:r w:rsidR="00DF3059">
        <w:t>w celu jak najlepszego</w:t>
      </w:r>
      <w:r w:rsidR="00DC2291">
        <w:t xml:space="preserve"> zap</w:t>
      </w:r>
      <w:r w:rsidR="00DF3059">
        <w:t>oznania uczniów ze specyfiką lokalnego rynku</w:t>
      </w:r>
      <w:r w:rsidR="00DC2291">
        <w:t xml:space="preserve"> pracy;</w:t>
      </w:r>
    </w:p>
    <w:p w:rsidR="006073BC" w:rsidRDefault="006073BC" w:rsidP="00227E3C">
      <w:pPr>
        <w:pStyle w:val="Akapitzlist"/>
        <w:spacing w:after="0" w:line="240" w:lineRule="auto"/>
        <w:ind w:left="360"/>
        <w:jc w:val="both"/>
      </w:pPr>
    </w:p>
    <w:p w:rsidR="00DC2291" w:rsidRDefault="00D3021C" w:rsidP="00227E3C">
      <w:pPr>
        <w:pStyle w:val="Akapitzlist"/>
        <w:numPr>
          <w:ilvl w:val="0"/>
          <w:numId w:val="13"/>
        </w:numPr>
        <w:spacing w:after="0" w:line="240" w:lineRule="auto"/>
        <w:ind w:left="360"/>
        <w:jc w:val="both"/>
      </w:pPr>
      <w:r>
        <w:t>P</w:t>
      </w:r>
      <w:r w:rsidR="00FA399B">
        <w:t>owołanie zespołu  ds. bieżącej współpracy szkół zawodowych z pracodawcami – zespół będzie się składał z przedstawicieli Miasta, poszczególnych szkół zawodowych,</w:t>
      </w:r>
      <w:r w:rsidR="00332EC0">
        <w:t xml:space="preserve"> PNT, PUP,</w:t>
      </w:r>
      <w:r w:rsidR="00FA399B">
        <w:t xml:space="preserve"> PWSZ o</w:t>
      </w:r>
      <w:r w:rsidR="001C5B8A">
        <w:t>raz przedstawicieli pracodawców. Zespół będzie organizował coroczne spotkania w celu monitorowania sytuacji na suwalskim rynku pracy i rekomendowania podjęcia odpowiednich działań zaradczych;</w:t>
      </w:r>
    </w:p>
    <w:p w:rsidR="006073BC" w:rsidRDefault="006073BC" w:rsidP="00227E3C">
      <w:pPr>
        <w:spacing w:after="0" w:line="240" w:lineRule="auto"/>
        <w:jc w:val="both"/>
      </w:pPr>
    </w:p>
    <w:p w:rsidR="00FA399B" w:rsidRPr="00C25A85" w:rsidRDefault="00FA399B" w:rsidP="00227E3C">
      <w:pPr>
        <w:pStyle w:val="Akapitzlist"/>
        <w:numPr>
          <w:ilvl w:val="0"/>
          <w:numId w:val="13"/>
        </w:numPr>
        <w:spacing w:after="0" w:line="240" w:lineRule="auto"/>
        <w:ind w:left="360"/>
        <w:jc w:val="both"/>
      </w:pPr>
      <w:r w:rsidRPr="00C25A85">
        <w:t>Inwestycje w bazę dydaktyczną suwalskich szkół zawodowych – reforma kształcenia zawodowego jest niemożliwa bez podjęcia kompleksowych działań modernizacyjnych szkół zawodowych obejmujących zarówno inwestycje w pomoce dydaktyczne, pracownie nauki przedmiotu</w:t>
      </w:r>
      <w:r w:rsidR="007123BD">
        <w:t>,</w:t>
      </w:r>
      <w:r w:rsidRPr="00C25A85">
        <w:t xml:space="preserve"> jak i bazę lokalową. </w:t>
      </w:r>
    </w:p>
    <w:p w:rsidR="006073BC" w:rsidRDefault="006073BC" w:rsidP="00227E3C">
      <w:pPr>
        <w:pStyle w:val="Akapitzlist"/>
        <w:spacing w:after="0" w:line="240" w:lineRule="auto"/>
        <w:ind w:left="360"/>
        <w:jc w:val="both"/>
      </w:pPr>
    </w:p>
    <w:p w:rsidR="006073BC" w:rsidRDefault="00FA399B" w:rsidP="00227E3C">
      <w:pPr>
        <w:pStyle w:val="Akapitzlist"/>
        <w:spacing w:after="0" w:line="240" w:lineRule="auto"/>
        <w:ind w:left="360"/>
        <w:jc w:val="both"/>
      </w:pPr>
      <w:r w:rsidRPr="006073BC">
        <w:t>Przy</w:t>
      </w:r>
      <w:r w:rsidR="006073BC">
        <w:t xml:space="preserve">kładem takiego działania jest projekt </w:t>
      </w:r>
      <w:r w:rsidR="006073BC" w:rsidRPr="006073BC">
        <w:rPr>
          <w:b/>
          <w:i/>
        </w:rPr>
        <w:t xml:space="preserve">„Dostosowanie systemu kształcenia zawodowego do potrzeb lokalnego rynku pracy” </w:t>
      </w:r>
      <w:r w:rsidR="006073BC">
        <w:t>zgłoszony na listę indykatywną projektów w ramach RPO 2014-2020. Projekt obejmie wszystkie szkoły prowadzące kształcenie zawodowe w mieście Suwałki. Główny cel projektu to dostosowanie infrastruktury kształcenia zawodowego do aktualnych potrzeb rynku pracy. Projekt dotyczyć będzie m.in. wyposażenia pracowni kształcenia zawodowego, zakup niezbędnego sprzętu, narzędzi, urządzeń, które sprawią, że oferta placówek kształcenia zawodowego będzie dostosowana do potrzeb rynku pracy oraz kierunków rozwojowych województwa. Inne działania, które zostaną przeprowadzone w projekcie to:</w:t>
      </w:r>
    </w:p>
    <w:p w:rsidR="006073BC" w:rsidRDefault="00321E16" w:rsidP="00FE3FC5">
      <w:pPr>
        <w:pStyle w:val="Akapitzlist"/>
        <w:numPr>
          <w:ilvl w:val="0"/>
          <w:numId w:val="21"/>
        </w:numPr>
        <w:spacing w:after="0" w:line="240" w:lineRule="auto"/>
        <w:jc w:val="both"/>
      </w:pPr>
      <w:r>
        <w:t>Utworzenie mini-przedsię</w:t>
      </w:r>
      <w:r w:rsidR="006073BC">
        <w:t>biorstwa - platforma edukacyjna jako gospodarstwo pomocnicze,</w:t>
      </w:r>
    </w:p>
    <w:p w:rsidR="006073BC" w:rsidRDefault="006073BC" w:rsidP="00FE3FC5">
      <w:pPr>
        <w:pStyle w:val="Akapitzlist"/>
        <w:numPr>
          <w:ilvl w:val="0"/>
          <w:numId w:val="21"/>
        </w:numPr>
        <w:spacing w:after="0" w:line="240" w:lineRule="auto"/>
        <w:jc w:val="both"/>
      </w:pPr>
      <w:r>
        <w:t>Nowa forma doradztwa edukacyjno-zawodowego</w:t>
      </w:r>
      <w:r w:rsidR="007123BD">
        <w:t xml:space="preserve"> </w:t>
      </w:r>
      <w:r>
        <w:t xml:space="preserve">- wyjazdy do zakładów, przedsiębiorstw, e-wykłady z uczelni technicznych, nacisk na kwalifikacyjne kursy zawodowe, kształcenie w formach pozaszkolnych typu kursy (krótkie formy), </w:t>
      </w:r>
    </w:p>
    <w:p w:rsidR="006073BC" w:rsidRDefault="006073BC" w:rsidP="00FE3FC5">
      <w:pPr>
        <w:pStyle w:val="Akapitzlist"/>
        <w:numPr>
          <w:ilvl w:val="0"/>
          <w:numId w:val="21"/>
        </w:numPr>
        <w:spacing w:after="0" w:line="240" w:lineRule="auto"/>
        <w:jc w:val="both"/>
      </w:pPr>
      <w:r>
        <w:t>Współpraca z PUP jako aktywne poszukiwanie pracy, doradztwo zawodowe,</w:t>
      </w:r>
    </w:p>
    <w:p w:rsidR="006073BC" w:rsidRDefault="006073BC" w:rsidP="00FE3FC5">
      <w:pPr>
        <w:pStyle w:val="Akapitzlist"/>
        <w:numPr>
          <w:ilvl w:val="0"/>
          <w:numId w:val="21"/>
        </w:numPr>
        <w:spacing w:after="0" w:line="240" w:lineRule="auto"/>
        <w:jc w:val="both"/>
      </w:pPr>
      <w:r>
        <w:t>Współpraca z pracodawcami -  przeszkolenie pracodawców (kursy pedagogiczne)</w:t>
      </w:r>
      <w:r w:rsidR="00E502B3">
        <w:t>,</w:t>
      </w:r>
      <w:r>
        <w:t xml:space="preserve"> </w:t>
      </w:r>
    </w:p>
    <w:p w:rsidR="006073BC" w:rsidRDefault="006073BC" w:rsidP="00FE3FC5">
      <w:pPr>
        <w:pStyle w:val="Akapitzlist"/>
        <w:numPr>
          <w:ilvl w:val="0"/>
          <w:numId w:val="21"/>
        </w:numPr>
        <w:spacing w:after="0" w:line="240" w:lineRule="auto"/>
        <w:jc w:val="both"/>
      </w:pPr>
      <w:r>
        <w:t>Płatne staże i praktyki w zakładach, przedsiębiorstwach, w tym zagranicznych,</w:t>
      </w:r>
    </w:p>
    <w:p w:rsidR="006073BC" w:rsidRDefault="006073BC" w:rsidP="00FE3FC5">
      <w:pPr>
        <w:pStyle w:val="Akapitzlist"/>
        <w:numPr>
          <w:ilvl w:val="0"/>
          <w:numId w:val="21"/>
        </w:numPr>
        <w:spacing w:after="0" w:line="240" w:lineRule="auto"/>
        <w:jc w:val="both"/>
      </w:pPr>
      <w:r>
        <w:t>Kształcenie językowe branżowe-certyfikaty,</w:t>
      </w:r>
    </w:p>
    <w:p w:rsidR="006073BC" w:rsidRDefault="006073BC" w:rsidP="00FE3FC5">
      <w:pPr>
        <w:pStyle w:val="Akapitzlist"/>
        <w:numPr>
          <w:ilvl w:val="0"/>
          <w:numId w:val="21"/>
        </w:numPr>
        <w:spacing w:after="0" w:line="240" w:lineRule="auto"/>
        <w:jc w:val="both"/>
      </w:pPr>
      <w:r>
        <w:t>Przeszkolenie nauczycieli w zakładach, przedsiębiorstwach,</w:t>
      </w:r>
    </w:p>
    <w:p w:rsidR="006073BC" w:rsidRDefault="006073BC" w:rsidP="00FE3FC5">
      <w:pPr>
        <w:pStyle w:val="Akapitzlist"/>
        <w:numPr>
          <w:ilvl w:val="0"/>
          <w:numId w:val="21"/>
        </w:numPr>
        <w:spacing w:after="0" w:line="240" w:lineRule="auto"/>
        <w:jc w:val="both"/>
      </w:pPr>
      <w:r>
        <w:t>Utworzenie laboratoriów kształcenia ogólnego typu chemia, fizyka tak potrzebnych w kształceniu zawodowym</w:t>
      </w:r>
      <w:r w:rsidR="00E502B3">
        <w:t>,</w:t>
      </w:r>
    </w:p>
    <w:p w:rsidR="00FA399B" w:rsidRDefault="006073BC" w:rsidP="00FE3FC5">
      <w:pPr>
        <w:pStyle w:val="Akapitzlist"/>
        <w:numPr>
          <w:ilvl w:val="0"/>
          <w:numId w:val="21"/>
        </w:numPr>
        <w:spacing w:after="0" w:line="240" w:lineRule="auto"/>
        <w:jc w:val="both"/>
      </w:pPr>
      <w:r>
        <w:t>Kampania szkolnictwa zawodowego w celu zwiększenia naboru do zasadniczych szkół zawodowych</w:t>
      </w:r>
      <w:r w:rsidR="00E502B3">
        <w:t>.</w:t>
      </w:r>
    </w:p>
    <w:p w:rsidR="006073BC" w:rsidRDefault="006073BC" w:rsidP="00847211">
      <w:pPr>
        <w:spacing w:after="0" w:line="240" w:lineRule="auto"/>
        <w:ind w:firstLine="360"/>
        <w:jc w:val="both"/>
      </w:pPr>
      <w:r>
        <w:t>Szacunkowy koszt projektu to 15.000.000 zł.</w:t>
      </w:r>
    </w:p>
    <w:p w:rsidR="006073BC" w:rsidRPr="006073BC" w:rsidRDefault="006073BC" w:rsidP="00FA399B">
      <w:pPr>
        <w:pStyle w:val="Akapitzlist"/>
        <w:spacing w:after="0" w:line="240" w:lineRule="auto"/>
        <w:jc w:val="both"/>
      </w:pPr>
    </w:p>
    <w:p w:rsidR="00FE59AD" w:rsidRPr="00BC1C74" w:rsidRDefault="00C25A85" w:rsidP="00893388">
      <w:pPr>
        <w:pStyle w:val="Akapitzlist"/>
        <w:numPr>
          <w:ilvl w:val="0"/>
          <w:numId w:val="14"/>
        </w:numPr>
        <w:autoSpaceDE w:val="0"/>
        <w:autoSpaceDN w:val="0"/>
        <w:adjustRightInd w:val="0"/>
        <w:spacing w:after="0" w:line="240" w:lineRule="auto"/>
        <w:jc w:val="both"/>
        <w:rPr>
          <w:rFonts w:ascii="Calibri" w:hAnsi="Calibri" w:cs="Calibri"/>
        </w:rPr>
      </w:pPr>
      <w:r>
        <w:rPr>
          <w:rFonts w:ascii="Calibri" w:hAnsi="Calibri" w:cs="Calibri"/>
        </w:rPr>
        <w:t>konkurs o tematyce biznesowej – Miasto Suwałki będzie organizować cykliczny, doroczny konkurs przedsiębiorczości dla najlepszego planu na prowadzenie działalności gospodarczej dla uczniów ostatnich klas szkół zawodowych. Nagrodą</w:t>
      </w:r>
      <w:r w:rsidRPr="0056728C">
        <w:rPr>
          <w:rFonts w:ascii="Calibri" w:hAnsi="Calibri" w:cs="Calibri"/>
        </w:rPr>
        <w:t xml:space="preserve"> </w:t>
      </w:r>
      <w:r>
        <w:rPr>
          <w:rFonts w:ascii="Calibri" w:hAnsi="Calibri" w:cs="Calibri"/>
        </w:rPr>
        <w:t>w konkursie będzie dofinansowanie kosztów prowadzenia działalności gospodarczej</w:t>
      </w:r>
      <w:r w:rsidR="00FB353F">
        <w:rPr>
          <w:rFonts w:ascii="Calibri" w:hAnsi="Calibri" w:cs="Calibri"/>
        </w:rPr>
        <w:t xml:space="preserve"> w wysokości do 15</w:t>
      </w:r>
      <w:r w:rsidR="007D0FBE">
        <w:rPr>
          <w:rFonts w:ascii="Calibri" w:hAnsi="Calibri" w:cs="Calibri"/>
        </w:rPr>
        <w:t>.000 zł.</w:t>
      </w:r>
      <w:r>
        <w:rPr>
          <w:rFonts w:ascii="Calibri" w:hAnsi="Calibri" w:cs="Calibri"/>
        </w:rPr>
        <w:t xml:space="preserve">, </w:t>
      </w:r>
      <w:r w:rsidR="007D0FBE">
        <w:rPr>
          <w:rFonts w:ascii="Calibri" w:hAnsi="Calibri" w:cs="Calibri"/>
        </w:rPr>
        <w:t xml:space="preserve">lokal w Parku NT, </w:t>
      </w:r>
      <w:r>
        <w:rPr>
          <w:rFonts w:ascii="Calibri" w:hAnsi="Calibri" w:cs="Calibri"/>
        </w:rPr>
        <w:t>wsparcie</w:t>
      </w:r>
      <w:r w:rsidR="007D0FBE">
        <w:rPr>
          <w:rFonts w:ascii="Calibri" w:hAnsi="Calibri" w:cs="Calibri"/>
        </w:rPr>
        <w:t xml:space="preserve"> prawne i księgowe</w:t>
      </w:r>
      <w:r>
        <w:rPr>
          <w:rFonts w:ascii="Calibri" w:hAnsi="Calibri" w:cs="Calibri"/>
        </w:rPr>
        <w:t>.</w:t>
      </w:r>
      <w:r w:rsidR="00901EAB">
        <w:rPr>
          <w:rFonts w:ascii="Calibri" w:hAnsi="Calibri" w:cs="Calibri"/>
        </w:rPr>
        <w:t xml:space="preserve"> </w:t>
      </w:r>
      <w:r w:rsidR="00FB353F">
        <w:rPr>
          <w:rFonts w:ascii="Calibri" w:hAnsi="Calibri" w:cs="Calibri"/>
        </w:rPr>
        <w:t xml:space="preserve">Do współpracy przy organizacji konkursu zostaną zaproszone firmy i przedsiębiorcy prywatni, którzy ufundują uczestnikom konkursu atrakcyjne nagrody dodatkowe (nagrody rzeczowe, kursy szkoleniowe, pakiety promocyjne, rozwiązania softwarowe dla firm, etc.). </w:t>
      </w:r>
      <w:r w:rsidR="00901EAB">
        <w:rPr>
          <w:rFonts w:ascii="Calibri" w:hAnsi="Calibri" w:cs="Calibri"/>
        </w:rPr>
        <w:t xml:space="preserve">Plan będzie oceniany przez </w:t>
      </w:r>
      <w:r w:rsidR="00155B37">
        <w:rPr>
          <w:rFonts w:ascii="Calibri" w:hAnsi="Calibri" w:cs="Calibri"/>
        </w:rPr>
        <w:t xml:space="preserve">przedstawicieli Miasta, </w:t>
      </w:r>
      <w:r w:rsidR="007123BD">
        <w:rPr>
          <w:rFonts w:ascii="Calibri" w:hAnsi="Calibri" w:cs="Calibri"/>
        </w:rPr>
        <w:t xml:space="preserve">organizacji </w:t>
      </w:r>
      <w:r w:rsidR="00155B37">
        <w:rPr>
          <w:rFonts w:ascii="Calibri" w:hAnsi="Calibri" w:cs="Calibri"/>
        </w:rPr>
        <w:t>przedsiębiorców, instytucji finansowych, funduszy pożyczkowych</w:t>
      </w:r>
      <w:r w:rsidR="001C5B8A">
        <w:rPr>
          <w:rFonts w:ascii="Calibri" w:hAnsi="Calibri" w:cs="Calibri"/>
        </w:rPr>
        <w:t>, etc</w:t>
      </w:r>
      <w:r w:rsidR="00213A5F">
        <w:rPr>
          <w:rFonts w:ascii="Calibri" w:hAnsi="Calibri" w:cs="Calibri"/>
        </w:rPr>
        <w:t>.</w:t>
      </w:r>
    </w:p>
    <w:p w:rsidR="00BC1C74" w:rsidRDefault="00BC1C74" w:rsidP="00893388">
      <w:pPr>
        <w:autoSpaceDE w:val="0"/>
        <w:autoSpaceDN w:val="0"/>
        <w:adjustRightInd w:val="0"/>
        <w:spacing w:after="0" w:line="240" w:lineRule="auto"/>
        <w:jc w:val="both"/>
        <w:rPr>
          <w:rFonts w:cs="Calibri-Bold"/>
          <w:bCs/>
        </w:rPr>
      </w:pPr>
    </w:p>
    <w:tbl>
      <w:tblPr>
        <w:tblStyle w:val="Tabela-Siatka"/>
        <w:tblW w:w="0" w:type="auto"/>
        <w:tblLook w:val="04A0"/>
      </w:tblPr>
      <w:tblGrid>
        <w:gridCol w:w="2067"/>
        <w:gridCol w:w="2276"/>
        <w:gridCol w:w="1736"/>
        <w:gridCol w:w="1442"/>
        <w:gridCol w:w="1767"/>
      </w:tblGrid>
      <w:tr w:rsidR="006073BC" w:rsidRPr="002B47D5" w:rsidTr="006073BC">
        <w:tc>
          <w:tcPr>
            <w:tcW w:w="2067" w:type="dxa"/>
            <w:shd w:val="clear" w:color="auto" w:fill="4F81BD" w:themeFill="accent1"/>
          </w:tcPr>
          <w:p w:rsidR="006073BC" w:rsidRPr="002B47D5" w:rsidRDefault="006073BC" w:rsidP="002F1D5B">
            <w:pPr>
              <w:rPr>
                <w:color w:val="FFFFFF" w:themeColor="background1"/>
                <w:sz w:val="18"/>
                <w:szCs w:val="18"/>
              </w:rPr>
            </w:pPr>
            <w:r>
              <w:rPr>
                <w:color w:val="FFFFFF" w:themeColor="background1"/>
                <w:sz w:val="18"/>
                <w:szCs w:val="18"/>
              </w:rPr>
              <w:t>Działanie</w:t>
            </w:r>
          </w:p>
        </w:tc>
        <w:tc>
          <w:tcPr>
            <w:tcW w:w="2276" w:type="dxa"/>
            <w:shd w:val="clear" w:color="auto" w:fill="4F81BD" w:themeFill="accent1"/>
          </w:tcPr>
          <w:p w:rsidR="006073BC" w:rsidRPr="002B47D5" w:rsidRDefault="006073BC" w:rsidP="002F1D5B">
            <w:pPr>
              <w:rPr>
                <w:color w:val="FFFFFF" w:themeColor="background1"/>
                <w:sz w:val="18"/>
                <w:szCs w:val="18"/>
              </w:rPr>
            </w:pPr>
            <w:r>
              <w:rPr>
                <w:color w:val="FFFFFF" w:themeColor="background1"/>
                <w:sz w:val="18"/>
                <w:szCs w:val="18"/>
              </w:rPr>
              <w:t>Podmioty odpowiedzialne</w:t>
            </w:r>
          </w:p>
        </w:tc>
        <w:tc>
          <w:tcPr>
            <w:tcW w:w="1736" w:type="dxa"/>
            <w:shd w:val="clear" w:color="auto" w:fill="4F81BD" w:themeFill="accent1"/>
          </w:tcPr>
          <w:p w:rsidR="006073BC" w:rsidRPr="002B47D5" w:rsidRDefault="006073BC" w:rsidP="002F1D5B">
            <w:pPr>
              <w:rPr>
                <w:color w:val="FFFFFF" w:themeColor="background1"/>
                <w:sz w:val="18"/>
                <w:szCs w:val="18"/>
              </w:rPr>
            </w:pPr>
            <w:r>
              <w:rPr>
                <w:color w:val="FFFFFF" w:themeColor="background1"/>
                <w:sz w:val="18"/>
                <w:szCs w:val="18"/>
              </w:rPr>
              <w:t>Grupy docelowe</w:t>
            </w:r>
          </w:p>
        </w:tc>
        <w:tc>
          <w:tcPr>
            <w:tcW w:w="1442" w:type="dxa"/>
            <w:shd w:val="clear" w:color="auto" w:fill="4F81BD" w:themeFill="accent1"/>
          </w:tcPr>
          <w:p w:rsidR="006073BC" w:rsidRDefault="006073BC" w:rsidP="002F1D5B">
            <w:pPr>
              <w:rPr>
                <w:color w:val="FFFFFF" w:themeColor="background1"/>
                <w:sz w:val="18"/>
                <w:szCs w:val="18"/>
              </w:rPr>
            </w:pPr>
            <w:r>
              <w:rPr>
                <w:color w:val="FFFFFF" w:themeColor="background1"/>
                <w:sz w:val="18"/>
                <w:szCs w:val="18"/>
              </w:rPr>
              <w:t>Koszt</w:t>
            </w:r>
          </w:p>
        </w:tc>
        <w:tc>
          <w:tcPr>
            <w:tcW w:w="1767" w:type="dxa"/>
            <w:shd w:val="clear" w:color="auto" w:fill="4F81BD" w:themeFill="accent1"/>
          </w:tcPr>
          <w:p w:rsidR="006073BC" w:rsidRPr="002B47D5" w:rsidRDefault="006073BC" w:rsidP="002F1D5B">
            <w:pPr>
              <w:rPr>
                <w:color w:val="FFFFFF" w:themeColor="background1"/>
                <w:sz w:val="18"/>
                <w:szCs w:val="18"/>
              </w:rPr>
            </w:pPr>
            <w:r>
              <w:rPr>
                <w:color w:val="FFFFFF" w:themeColor="background1"/>
                <w:sz w:val="18"/>
                <w:szCs w:val="18"/>
              </w:rPr>
              <w:t>Źródła finansowania</w:t>
            </w:r>
          </w:p>
        </w:tc>
      </w:tr>
      <w:tr w:rsidR="006073BC" w:rsidRPr="002B47D5" w:rsidTr="006073BC">
        <w:tc>
          <w:tcPr>
            <w:tcW w:w="2067" w:type="dxa"/>
          </w:tcPr>
          <w:p w:rsidR="006073BC" w:rsidRPr="005152A0" w:rsidRDefault="006073BC" w:rsidP="002F1D5B">
            <w:pPr>
              <w:jc w:val="both"/>
              <w:rPr>
                <w:sz w:val="18"/>
                <w:szCs w:val="18"/>
              </w:rPr>
            </w:pPr>
            <w:r>
              <w:rPr>
                <w:sz w:val="18"/>
                <w:szCs w:val="18"/>
              </w:rPr>
              <w:t xml:space="preserve">Program </w:t>
            </w:r>
            <w:r w:rsidR="00B96136">
              <w:rPr>
                <w:sz w:val="18"/>
                <w:szCs w:val="18"/>
              </w:rPr>
              <w:t xml:space="preserve">kształcenia zawodowego i </w:t>
            </w:r>
            <w:r>
              <w:rPr>
                <w:sz w:val="18"/>
                <w:szCs w:val="18"/>
              </w:rPr>
              <w:t>współpracy szkół z pracodawcami</w:t>
            </w:r>
          </w:p>
        </w:tc>
        <w:tc>
          <w:tcPr>
            <w:tcW w:w="2276" w:type="dxa"/>
          </w:tcPr>
          <w:p w:rsidR="006073BC" w:rsidRPr="002B47D5" w:rsidRDefault="006073BC" w:rsidP="002F1D5B">
            <w:pPr>
              <w:jc w:val="both"/>
              <w:rPr>
                <w:sz w:val="18"/>
                <w:szCs w:val="18"/>
              </w:rPr>
            </w:pPr>
            <w:r>
              <w:rPr>
                <w:sz w:val="18"/>
                <w:szCs w:val="18"/>
              </w:rPr>
              <w:t>Miasto Suwałki, OWS, pracodawcy, szkoły</w:t>
            </w:r>
          </w:p>
        </w:tc>
        <w:tc>
          <w:tcPr>
            <w:tcW w:w="1736" w:type="dxa"/>
          </w:tcPr>
          <w:p w:rsidR="006073BC" w:rsidRPr="002B47D5" w:rsidRDefault="006073BC" w:rsidP="002F1D5B">
            <w:pPr>
              <w:jc w:val="both"/>
              <w:rPr>
                <w:sz w:val="18"/>
                <w:szCs w:val="18"/>
              </w:rPr>
            </w:pPr>
            <w:r>
              <w:rPr>
                <w:sz w:val="18"/>
                <w:szCs w:val="18"/>
              </w:rPr>
              <w:t>Uczniowie, pracodawcy</w:t>
            </w:r>
          </w:p>
        </w:tc>
        <w:tc>
          <w:tcPr>
            <w:tcW w:w="1442" w:type="dxa"/>
          </w:tcPr>
          <w:p w:rsidR="006073BC" w:rsidRDefault="007123BD" w:rsidP="006073BC">
            <w:pPr>
              <w:jc w:val="left"/>
              <w:rPr>
                <w:sz w:val="18"/>
                <w:szCs w:val="18"/>
              </w:rPr>
            </w:pPr>
            <w:proofErr w:type="spellStart"/>
            <w:r>
              <w:rPr>
                <w:sz w:val="18"/>
                <w:szCs w:val="18"/>
              </w:rPr>
              <w:t>b.d</w:t>
            </w:r>
            <w:proofErr w:type="spellEnd"/>
            <w:r>
              <w:rPr>
                <w:sz w:val="18"/>
                <w:szCs w:val="18"/>
              </w:rPr>
              <w:t>.</w:t>
            </w:r>
          </w:p>
        </w:tc>
        <w:tc>
          <w:tcPr>
            <w:tcW w:w="1767" w:type="dxa"/>
          </w:tcPr>
          <w:p w:rsidR="006073BC" w:rsidRPr="002B47D5" w:rsidRDefault="006073BC" w:rsidP="002F1D5B">
            <w:pPr>
              <w:jc w:val="both"/>
              <w:rPr>
                <w:sz w:val="18"/>
                <w:szCs w:val="18"/>
              </w:rPr>
            </w:pPr>
            <w:r>
              <w:rPr>
                <w:sz w:val="18"/>
                <w:szCs w:val="18"/>
              </w:rPr>
              <w:t>Środki własne</w:t>
            </w:r>
          </w:p>
        </w:tc>
      </w:tr>
      <w:tr w:rsidR="006073BC" w:rsidRPr="002B47D5" w:rsidTr="006073BC">
        <w:tc>
          <w:tcPr>
            <w:tcW w:w="2067" w:type="dxa"/>
          </w:tcPr>
          <w:p w:rsidR="006073BC" w:rsidRPr="005152A0" w:rsidRDefault="006073BC" w:rsidP="002F1D5B">
            <w:pPr>
              <w:jc w:val="both"/>
              <w:rPr>
                <w:sz w:val="18"/>
                <w:szCs w:val="18"/>
              </w:rPr>
            </w:pPr>
            <w:r>
              <w:rPr>
                <w:sz w:val="18"/>
                <w:szCs w:val="18"/>
              </w:rPr>
              <w:t>Zespół ds. współpracy szkół z pracodawcami</w:t>
            </w:r>
          </w:p>
        </w:tc>
        <w:tc>
          <w:tcPr>
            <w:tcW w:w="2276" w:type="dxa"/>
          </w:tcPr>
          <w:p w:rsidR="006073BC" w:rsidRPr="002B47D5" w:rsidRDefault="006073BC" w:rsidP="00F7670E">
            <w:pPr>
              <w:jc w:val="both"/>
              <w:rPr>
                <w:sz w:val="18"/>
                <w:szCs w:val="18"/>
              </w:rPr>
            </w:pPr>
            <w:r>
              <w:rPr>
                <w:sz w:val="18"/>
                <w:szCs w:val="18"/>
              </w:rPr>
              <w:t>Miasto Suwałki, OWS, pracodawcy, szkoły</w:t>
            </w:r>
          </w:p>
        </w:tc>
        <w:tc>
          <w:tcPr>
            <w:tcW w:w="1736" w:type="dxa"/>
          </w:tcPr>
          <w:p w:rsidR="006073BC" w:rsidRPr="002B47D5" w:rsidRDefault="006073BC" w:rsidP="00F7670E">
            <w:pPr>
              <w:jc w:val="both"/>
              <w:rPr>
                <w:sz w:val="18"/>
                <w:szCs w:val="18"/>
              </w:rPr>
            </w:pPr>
            <w:r>
              <w:rPr>
                <w:sz w:val="18"/>
                <w:szCs w:val="18"/>
              </w:rPr>
              <w:t>Uczniowie, pracodawcy</w:t>
            </w:r>
          </w:p>
        </w:tc>
        <w:tc>
          <w:tcPr>
            <w:tcW w:w="1442" w:type="dxa"/>
          </w:tcPr>
          <w:p w:rsidR="006073BC" w:rsidRPr="005943C1" w:rsidRDefault="006073BC" w:rsidP="006073BC">
            <w:pPr>
              <w:jc w:val="left"/>
              <w:rPr>
                <w:sz w:val="18"/>
                <w:szCs w:val="18"/>
              </w:rPr>
            </w:pPr>
            <w:r>
              <w:rPr>
                <w:sz w:val="18"/>
                <w:szCs w:val="18"/>
              </w:rPr>
              <w:t>-</w:t>
            </w:r>
          </w:p>
        </w:tc>
        <w:tc>
          <w:tcPr>
            <w:tcW w:w="1767" w:type="dxa"/>
          </w:tcPr>
          <w:p w:rsidR="006073BC" w:rsidRDefault="006073BC" w:rsidP="00C25A85">
            <w:pPr>
              <w:jc w:val="left"/>
            </w:pPr>
            <w:r w:rsidRPr="005943C1">
              <w:rPr>
                <w:sz w:val="18"/>
                <w:szCs w:val="18"/>
              </w:rPr>
              <w:t>Środki własne</w:t>
            </w:r>
          </w:p>
        </w:tc>
      </w:tr>
      <w:tr w:rsidR="006073BC" w:rsidRPr="002B47D5" w:rsidTr="006073BC">
        <w:tc>
          <w:tcPr>
            <w:tcW w:w="2067" w:type="dxa"/>
          </w:tcPr>
          <w:p w:rsidR="006073BC" w:rsidRPr="005152A0" w:rsidRDefault="006073BC" w:rsidP="002F1D5B">
            <w:pPr>
              <w:jc w:val="both"/>
              <w:rPr>
                <w:sz w:val="18"/>
                <w:szCs w:val="18"/>
              </w:rPr>
            </w:pPr>
            <w:r>
              <w:rPr>
                <w:sz w:val="18"/>
                <w:szCs w:val="18"/>
              </w:rPr>
              <w:t xml:space="preserve">Działania inwestycyjne - </w:t>
            </w:r>
            <w:r w:rsidRPr="006073BC">
              <w:rPr>
                <w:sz w:val="18"/>
                <w:szCs w:val="18"/>
              </w:rPr>
              <w:t>„Dostosowanie systemu kształcenia zawodowego do potrzeb lokalnego rynku pracy”</w:t>
            </w:r>
          </w:p>
        </w:tc>
        <w:tc>
          <w:tcPr>
            <w:tcW w:w="2276" w:type="dxa"/>
          </w:tcPr>
          <w:p w:rsidR="006073BC" w:rsidRPr="002B47D5" w:rsidRDefault="006073BC" w:rsidP="00F7670E">
            <w:pPr>
              <w:jc w:val="both"/>
              <w:rPr>
                <w:sz w:val="18"/>
                <w:szCs w:val="18"/>
              </w:rPr>
            </w:pPr>
            <w:r>
              <w:rPr>
                <w:sz w:val="18"/>
                <w:szCs w:val="18"/>
              </w:rPr>
              <w:t>Miasto Suwałki, OWS, pracodawcy, szkoły</w:t>
            </w:r>
          </w:p>
        </w:tc>
        <w:tc>
          <w:tcPr>
            <w:tcW w:w="1736" w:type="dxa"/>
          </w:tcPr>
          <w:p w:rsidR="006073BC" w:rsidRPr="002B47D5" w:rsidRDefault="006073BC" w:rsidP="00F7670E">
            <w:pPr>
              <w:jc w:val="both"/>
              <w:rPr>
                <w:sz w:val="18"/>
                <w:szCs w:val="18"/>
              </w:rPr>
            </w:pPr>
            <w:r>
              <w:rPr>
                <w:sz w:val="18"/>
                <w:szCs w:val="18"/>
              </w:rPr>
              <w:t>Uczniowie, pracodawcy</w:t>
            </w:r>
          </w:p>
        </w:tc>
        <w:tc>
          <w:tcPr>
            <w:tcW w:w="1442" w:type="dxa"/>
          </w:tcPr>
          <w:p w:rsidR="006073BC" w:rsidRPr="005943C1" w:rsidRDefault="006073BC" w:rsidP="006073BC">
            <w:pPr>
              <w:jc w:val="left"/>
              <w:rPr>
                <w:sz w:val="18"/>
                <w:szCs w:val="18"/>
              </w:rPr>
            </w:pPr>
            <w:r>
              <w:rPr>
                <w:sz w:val="18"/>
                <w:szCs w:val="18"/>
              </w:rPr>
              <w:t>15.000.000 zł</w:t>
            </w:r>
          </w:p>
        </w:tc>
        <w:tc>
          <w:tcPr>
            <w:tcW w:w="1767" w:type="dxa"/>
          </w:tcPr>
          <w:p w:rsidR="006073BC" w:rsidRDefault="006073BC" w:rsidP="00C25A85">
            <w:pPr>
              <w:jc w:val="left"/>
            </w:pPr>
            <w:r w:rsidRPr="005943C1">
              <w:rPr>
                <w:sz w:val="18"/>
                <w:szCs w:val="18"/>
              </w:rPr>
              <w:t>Środki własne</w:t>
            </w:r>
            <w:r>
              <w:rPr>
                <w:sz w:val="18"/>
                <w:szCs w:val="18"/>
              </w:rPr>
              <w:t>, fundusze unijne</w:t>
            </w:r>
          </w:p>
        </w:tc>
      </w:tr>
      <w:tr w:rsidR="006073BC" w:rsidRPr="002B47D5" w:rsidTr="006073BC">
        <w:tc>
          <w:tcPr>
            <w:tcW w:w="2067" w:type="dxa"/>
          </w:tcPr>
          <w:p w:rsidR="006073BC" w:rsidRPr="005152A0" w:rsidRDefault="006073BC" w:rsidP="002F1D5B">
            <w:pPr>
              <w:jc w:val="both"/>
              <w:rPr>
                <w:sz w:val="18"/>
                <w:szCs w:val="18"/>
              </w:rPr>
            </w:pPr>
            <w:r>
              <w:rPr>
                <w:sz w:val="18"/>
                <w:szCs w:val="18"/>
              </w:rPr>
              <w:t>Konkurs o tematyce biznesowej</w:t>
            </w:r>
          </w:p>
        </w:tc>
        <w:tc>
          <w:tcPr>
            <w:tcW w:w="2276" w:type="dxa"/>
          </w:tcPr>
          <w:p w:rsidR="006073BC" w:rsidRPr="002B47D5" w:rsidRDefault="006073BC" w:rsidP="00F7670E">
            <w:pPr>
              <w:jc w:val="both"/>
              <w:rPr>
                <w:sz w:val="18"/>
                <w:szCs w:val="18"/>
              </w:rPr>
            </w:pPr>
            <w:r>
              <w:rPr>
                <w:sz w:val="18"/>
                <w:szCs w:val="18"/>
              </w:rPr>
              <w:t>Miasto Suwałki, OWS, RFZ, pracodawcy, szkoły</w:t>
            </w:r>
          </w:p>
        </w:tc>
        <w:tc>
          <w:tcPr>
            <w:tcW w:w="1736" w:type="dxa"/>
          </w:tcPr>
          <w:p w:rsidR="006073BC" w:rsidRPr="002B47D5" w:rsidRDefault="006073BC" w:rsidP="00F7670E">
            <w:pPr>
              <w:jc w:val="both"/>
              <w:rPr>
                <w:sz w:val="18"/>
                <w:szCs w:val="18"/>
              </w:rPr>
            </w:pPr>
            <w:r>
              <w:rPr>
                <w:sz w:val="18"/>
                <w:szCs w:val="18"/>
              </w:rPr>
              <w:t>Uczniowie, pracodawcy</w:t>
            </w:r>
          </w:p>
        </w:tc>
        <w:tc>
          <w:tcPr>
            <w:tcW w:w="1442" w:type="dxa"/>
          </w:tcPr>
          <w:p w:rsidR="006073BC" w:rsidRPr="005943C1" w:rsidRDefault="007123BD" w:rsidP="006073BC">
            <w:pPr>
              <w:jc w:val="left"/>
              <w:rPr>
                <w:sz w:val="18"/>
                <w:szCs w:val="18"/>
              </w:rPr>
            </w:pPr>
            <w:r>
              <w:rPr>
                <w:sz w:val="18"/>
                <w:szCs w:val="18"/>
              </w:rPr>
              <w:t>15.000 zł/rok</w:t>
            </w:r>
          </w:p>
        </w:tc>
        <w:tc>
          <w:tcPr>
            <w:tcW w:w="1767" w:type="dxa"/>
          </w:tcPr>
          <w:p w:rsidR="006073BC" w:rsidRDefault="006073BC" w:rsidP="00F7670E">
            <w:pPr>
              <w:jc w:val="left"/>
            </w:pPr>
            <w:r w:rsidRPr="005943C1">
              <w:rPr>
                <w:sz w:val="18"/>
                <w:szCs w:val="18"/>
              </w:rPr>
              <w:t>Środki własne</w:t>
            </w:r>
            <w:r>
              <w:rPr>
                <w:sz w:val="18"/>
                <w:szCs w:val="18"/>
              </w:rPr>
              <w:t>, fundusze unijne</w:t>
            </w:r>
          </w:p>
        </w:tc>
      </w:tr>
    </w:tbl>
    <w:p w:rsidR="00706B7F" w:rsidRDefault="00706B7F" w:rsidP="00026FC3">
      <w:pPr>
        <w:rPr>
          <w:rFonts w:cs="Calibri-Bold"/>
          <w:bCs/>
        </w:rPr>
      </w:pPr>
    </w:p>
    <w:p w:rsidR="00232801" w:rsidRDefault="00786DA5" w:rsidP="00786DA5">
      <w:pPr>
        <w:pStyle w:val="Nagwek3"/>
      </w:pPr>
      <w:bookmarkStart w:id="50" w:name="_Toc390759501"/>
      <w:r>
        <w:t xml:space="preserve">1.5.2. </w:t>
      </w:r>
      <w:r w:rsidR="004144CC">
        <w:t xml:space="preserve">Wsparcie firm z sektora MICE </w:t>
      </w:r>
      <w:r>
        <w:t xml:space="preserve"> - </w:t>
      </w:r>
      <w:r w:rsidR="00F34B58">
        <w:t>Suwałki rozpoznawalnym centrum kongresowym</w:t>
      </w:r>
      <w:r w:rsidR="00FC3909">
        <w:rPr>
          <w:rStyle w:val="Odwoanieprzypisudolnego"/>
        </w:rPr>
        <w:footnoteReference w:id="22"/>
      </w:r>
      <w:bookmarkEnd w:id="50"/>
    </w:p>
    <w:p w:rsidR="00131002" w:rsidRDefault="00131002" w:rsidP="00BE1441">
      <w:pPr>
        <w:pStyle w:val="Akapitzlist"/>
        <w:autoSpaceDE w:val="0"/>
        <w:autoSpaceDN w:val="0"/>
        <w:adjustRightInd w:val="0"/>
        <w:spacing w:after="0" w:line="240" w:lineRule="auto"/>
        <w:ind w:left="360"/>
        <w:jc w:val="both"/>
        <w:rPr>
          <w:rFonts w:ascii="Calibri" w:hAnsi="Calibri" w:cs="Calibri"/>
        </w:rPr>
      </w:pPr>
    </w:p>
    <w:p w:rsidR="00E302C7" w:rsidRDefault="00E11E2C" w:rsidP="00BE1441">
      <w:pPr>
        <w:pStyle w:val="Akapitzlist"/>
        <w:autoSpaceDE w:val="0"/>
        <w:autoSpaceDN w:val="0"/>
        <w:adjustRightInd w:val="0"/>
        <w:spacing w:after="0" w:line="240" w:lineRule="auto"/>
        <w:ind w:left="0"/>
        <w:jc w:val="both"/>
        <w:rPr>
          <w:rFonts w:ascii="Calibri" w:hAnsi="Calibri" w:cs="Calibri"/>
        </w:rPr>
      </w:pPr>
      <w:r>
        <w:rPr>
          <w:lang w:eastAsia="pl-PL"/>
        </w:rPr>
        <w:t>Suwałki ze względu na swoje położenie w obszarze atrakcyjnym przyrodniczo i kulturowo stanowią główny ośrodek ruchu turystycznego w północnej części województwa podlaskiego. Turyści przyjeżdżający na Suwalszczyznę odwiedzają i korzystają z usług świadczonych w Suwałkach. Niestety, r</w:t>
      </w:r>
      <w:r w:rsidRPr="00644F77">
        <w:rPr>
          <w:lang w:eastAsia="pl-PL"/>
        </w:rPr>
        <w:t xml:space="preserve">uch turystyczny jest zjawiskiem bardzo zmiennym, zależnym od wielu różnych czynników: pogodowych, </w:t>
      </w:r>
      <w:r>
        <w:rPr>
          <w:lang w:eastAsia="pl-PL"/>
        </w:rPr>
        <w:t>gospodarczych i</w:t>
      </w:r>
      <w:r w:rsidRPr="00644F77">
        <w:rPr>
          <w:lang w:eastAsia="pl-PL"/>
        </w:rPr>
        <w:t xml:space="preserve"> społecznych. W przypadku </w:t>
      </w:r>
      <w:r>
        <w:rPr>
          <w:lang w:eastAsia="pl-PL"/>
        </w:rPr>
        <w:t>Suwałk również widoczne są duże wahania. Liczba turystów korzystających z noclegów w Suwałkach w 2012r. wynosiła 359 turystów na 1000 mieszkańców, co było spadkiem o ponad 16% w stosunku do roku 2006.</w:t>
      </w:r>
    </w:p>
    <w:p w:rsidR="00E11E2C" w:rsidRDefault="00E11E2C" w:rsidP="00BE1441">
      <w:pPr>
        <w:pStyle w:val="Akapitzlist"/>
        <w:autoSpaceDE w:val="0"/>
        <w:autoSpaceDN w:val="0"/>
        <w:adjustRightInd w:val="0"/>
        <w:spacing w:after="0" w:line="240" w:lineRule="auto"/>
        <w:ind w:left="0"/>
        <w:jc w:val="both"/>
        <w:rPr>
          <w:rFonts w:ascii="Calibri" w:hAnsi="Calibri" w:cs="Calibri"/>
        </w:rPr>
      </w:pPr>
    </w:p>
    <w:p w:rsidR="00786DA5" w:rsidRDefault="002C7DBA" w:rsidP="00BE1441">
      <w:pPr>
        <w:pStyle w:val="Akapitzlist"/>
        <w:autoSpaceDE w:val="0"/>
        <w:autoSpaceDN w:val="0"/>
        <w:adjustRightInd w:val="0"/>
        <w:spacing w:after="0" w:line="240" w:lineRule="auto"/>
        <w:ind w:left="0"/>
        <w:jc w:val="both"/>
        <w:rPr>
          <w:rFonts w:ascii="Calibri" w:hAnsi="Calibri" w:cs="Calibri"/>
        </w:rPr>
      </w:pPr>
      <w:r>
        <w:rPr>
          <w:rFonts w:ascii="Calibri" w:hAnsi="Calibri" w:cs="Calibri"/>
        </w:rPr>
        <w:t xml:space="preserve">Należy stwierdzić, że </w:t>
      </w:r>
      <w:r w:rsidR="00341691">
        <w:rPr>
          <w:rFonts w:ascii="Calibri" w:hAnsi="Calibri" w:cs="Calibri"/>
        </w:rPr>
        <w:t>w chwili obecnej Suwałki dysponują wieloma atutami pozwalającymi myśleć o rozwoju turystyki w ogóle i turystyki kongresowej w szczególności</w:t>
      </w:r>
      <w:r w:rsidR="00972014">
        <w:rPr>
          <w:rFonts w:ascii="Calibri" w:hAnsi="Calibri" w:cs="Calibri"/>
        </w:rPr>
        <w:t xml:space="preserve">. </w:t>
      </w:r>
      <w:r w:rsidR="008038DA">
        <w:rPr>
          <w:rFonts w:ascii="Calibri" w:hAnsi="Calibri" w:cs="Calibri"/>
        </w:rPr>
        <w:t>Do działających już od dawna na terenie miasta obiektów hotelowych o ugruntowanej pozycji na rynku, w</w:t>
      </w:r>
      <w:r w:rsidR="00972014">
        <w:rPr>
          <w:rFonts w:ascii="Calibri" w:hAnsi="Calibri" w:cs="Calibri"/>
        </w:rPr>
        <w:t xml:space="preserve"> 2012 r. </w:t>
      </w:r>
      <w:r w:rsidR="008038DA">
        <w:rPr>
          <w:rFonts w:ascii="Calibri" w:hAnsi="Calibri" w:cs="Calibri"/>
        </w:rPr>
        <w:t xml:space="preserve">dołączyły </w:t>
      </w:r>
      <w:r w:rsidR="007123BD">
        <w:rPr>
          <w:rFonts w:ascii="Calibri" w:hAnsi="Calibri" w:cs="Calibri"/>
        </w:rPr>
        <w:t>cztery</w:t>
      </w:r>
      <w:r w:rsidR="00972014">
        <w:rPr>
          <w:rFonts w:ascii="Calibri" w:hAnsi="Calibri" w:cs="Calibri"/>
        </w:rPr>
        <w:t xml:space="preserve"> hotele trzygwiazdkowe</w:t>
      </w:r>
      <w:r w:rsidR="008038DA">
        <w:rPr>
          <w:rFonts w:ascii="Calibri" w:hAnsi="Calibri" w:cs="Calibri"/>
        </w:rPr>
        <w:t xml:space="preserve"> wybudowane przez przedsiębiorców prywatnych</w:t>
      </w:r>
      <w:r w:rsidR="00972014">
        <w:rPr>
          <w:rFonts w:ascii="Calibri" w:hAnsi="Calibri" w:cs="Calibri"/>
        </w:rPr>
        <w:t xml:space="preserve">. </w:t>
      </w:r>
      <w:r w:rsidR="007123BD">
        <w:rPr>
          <w:rFonts w:ascii="Calibri" w:hAnsi="Calibri" w:cs="Calibri"/>
        </w:rPr>
        <w:t>Wszystkie obiekty spełniają najwyższe standardy w zakresie organizacji spotkań, konferencji, szkoleń,</w:t>
      </w:r>
      <w:r w:rsidR="007123BD" w:rsidRPr="00972014">
        <w:rPr>
          <w:rFonts w:ascii="Calibri" w:hAnsi="Calibri" w:cs="Calibri"/>
        </w:rPr>
        <w:t xml:space="preserve"> </w:t>
      </w:r>
      <w:r w:rsidR="008038DA">
        <w:rPr>
          <w:rFonts w:ascii="Calibri" w:hAnsi="Calibri" w:cs="Calibri"/>
        </w:rPr>
        <w:t>dysponują łącznie 7</w:t>
      </w:r>
      <w:r w:rsidR="007123BD" w:rsidRPr="00E11E2C">
        <w:rPr>
          <w:rFonts w:ascii="Calibri" w:hAnsi="Calibri" w:cs="Calibri"/>
        </w:rPr>
        <w:t xml:space="preserve"> salami konferencyjno-bankietowymi.</w:t>
      </w:r>
      <w:r w:rsidR="007123BD">
        <w:rPr>
          <w:rFonts w:ascii="Calibri" w:hAnsi="Calibri" w:cs="Calibri"/>
        </w:rPr>
        <w:t xml:space="preserve"> </w:t>
      </w:r>
      <w:r w:rsidR="00972014">
        <w:rPr>
          <w:rFonts w:ascii="Calibri" w:hAnsi="Calibri" w:cs="Calibri"/>
        </w:rPr>
        <w:t>W trakcie jest</w:t>
      </w:r>
      <w:r w:rsidR="00332EC0">
        <w:rPr>
          <w:rFonts w:ascii="Calibri" w:hAnsi="Calibri" w:cs="Calibri"/>
        </w:rPr>
        <w:t xml:space="preserve"> budowa kolejnego obiektu trzy</w:t>
      </w:r>
      <w:r w:rsidR="00972014">
        <w:rPr>
          <w:rFonts w:ascii="Calibri" w:hAnsi="Calibri" w:cs="Calibri"/>
        </w:rPr>
        <w:t xml:space="preserve">gwiazdkowego. </w:t>
      </w:r>
    </w:p>
    <w:p w:rsidR="00972014" w:rsidRDefault="00972014" w:rsidP="00BE1441">
      <w:pPr>
        <w:pStyle w:val="Akapitzlist"/>
        <w:autoSpaceDE w:val="0"/>
        <w:autoSpaceDN w:val="0"/>
        <w:adjustRightInd w:val="0"/>
        <w:spacing w:after="0" w:line="240" w:lineRule="auto"/>
        <w:ind w:left="0"/>
        <w:jc w:val="both"/>
        <w:rPr>
          <w:rFonts w:ascii="Calibri" w:hAnsi="Calibri" w:cs="Calibri"/>
        </w:rPr>
      </w:pPr>
    </w:p>
    <w:p w:rsidR="00E11E2C" w:rsidRPr="00F34CF7" w:rsidRDefault="00F34CF7" w:rsidP="00BE1441">
      <w:pPr>
        <w:pStyle w:val="Akapitzlist"/>
        <w:autoSpaceDE w:val="0"/>
        <w:autoSpaceDN w:val="0"/>
        <w:adjustRightInd w:val="0"/>
        <w:spacing w:after="0" w:line="240" w:lineRule="auto"/>
        <w:ind w:left="0"/>
        <w:jc w:val="both"/>
        <w:rPr>
          <w:rFonts w:ascii="Calibri" w:hAnsi="Calibri" w:cs="Calibri"/>
        </w:rPr>
      </w:pPr>
      <w:r>
        <w:rPr>
          <w:rFonts w:ascii="Calibri" w:hAnsi="Calibri" w:cs="Calibri"/>
        </w:rPr>
        <w:t>Rozwój przedsiębiorstw z branży</w:t>
      </w:r>
      <w:r w:rsidR="00972014">
        <w:rPr>
          <w:rFonts w:ascii="Calibri" w:hAnsi="Calibri" w:cs="Calibri"/>
        </w:rPr>
        <w:t xml:space="preserve"> hotelowej </w:t>
      </w:r>
      <w:r>
        <w:rPr>
          <w:rFonts w:ascii="Calibri" w:hAnsi="Calibri" w:cs="Calibri"/>
        </w:rPr>
        <w:t>w połączeniu z infrastrukturą kongresową Parku NT s</w:t>
      </w:r>
      <w:r w:rsidR="00E11E2C" w:rsidRPr="00E11E2C">
        <w:rPr>
          <w:rFonts w:ascii="Calibri" w:hAnsi="Calibri" w:cs="Calibri"/>
        </w:rPr>
        <w:t xml:space="preserve">przyja </w:t>
      </w:r>
      <w:r>
        <w:rPr>
          <w:rFonts w:ascii="Calibri" w:hAnsi="Calibri" w:cs="Calibri"/>
          <w:b/>
        </w:rPr>
        <w:t>turystyce</w:t>
      </w:r>
      <w:r w:rsidR="00E11E2C" w:rsidRPr="000B57F8">
        <w:rPr>
          <w:rFonts w:ascii="Calibri" w:hAnsi="Calibri" w:cs="Calibri"/>
          <w:b/>
        </w:rPr>
        <w:t xml:space="preserve"> biznesowej</w:t>
      </w:r>
      <w:r w:rsidR="00E11E2C" w:rsidRPr="00E11E2C">
        <w:rPr>
          <w:rFonts w:ascii="Calibri" w:hAnsi="Calibri" w:cs="Calibri"/>
        </w:rPr>
        <w:t xml:space="preserve">, dzięki czemu możliwe będzie </w:t>
      </w:r>
      <w:r w:rsidR="00E11E2C" w:rsidRPr="000B57F8">
        <w:rPr>
          <w:rFonts w:ascii="Calibri" w:hAnsi="Calibri" w:cs="Calibri"/>
        </w:rPr>
        <w:t>wydłużenie krótkiego dotychczas sezonu turystycznego i ustabilizowanie znacznych wahań w ruchu turystycznym w Suwałkach.</w:t>
      </w:r>
    </w:p>
    <w:p w:rsidR="007C7F16" w:rsidRDefault="007C7F16" w:rsidP="00BE1441">
      <w:pPr>
        <w:pStyle w:val="Akapitzlist"/>
        <w:autoSpaceDE w:val="0"/>
        <w:autoSpaceDN w:val="0"/>
        <w:adjustRightInd w:val="0"/>
        <w:spacing w:after="0" w:line="240" w:lineRule="auto"/>
        <w:ind w:left="0"/>
        <w:jc w:val="both"/>
        <w:rPr>
          <w:rFonts w:ascii="Calibri" w:hAnsi="Calibri" w:cs="Calibri"/>
        </w:rPr>
      </w:pPr>
    </w:p>
    <w:p w:rsidR="007C7F16" w:rsidRDefault="007C7F16" w:rsidP="00BE1441">
      <w:pPr>
        <w:pStyle w:val="Akapitzlist"/>
        <w:autoSpaceDE w:val="0"/>
        <w:autoSpaceDN w:val="0"/>
        <w:adjustRightInd w:val="0"/>
        <w:spacing w:after="0" w:line="240" w:lineRule="auto"/>
        <w:ind w:left="0"/>
        <w:jc w:val="both"/>
        <w:rPr>
          <w:rFonts w:ascii="Calibri" w:hAnsi="Calibri" w:cs="Calibri"/>
        </w:rPr>
      </w:pPr>
      <w:r>
        <w:rPr>
          <w:rFonts w:ascii="Calibri" w:hAnsi="Calibri" w:cs="Calibri"/>
        </w:rPr>
        <w:t xml:space="preserve">Centrum konferencyjne Parku </w:t>
      </w:r>
      <w:r w:rsidR="00F34CF7">
        <w:rPr>
          <w:rFonts w:ascii="Calibri" w:hAnsi="Calibri" w:cs="Calibri"/>
        </w:rPr>
        <w:t xml:space="preserve">NT </w:t>
      </w:r>
      <w:r>
        <w:rPr>
          <w:rFonts w:ascii="Calibri" w:hAnsi="Calibri" w:cs="Calibri"/>
        </w:rPr>
        <w:t xml:space="preserve">oferuje </w:t>
      </w:r>
      <w:r w:rsidRPr="006C7903">
        <w:rPr>
          <w:rFonts w:ascii="Calibri" w:hAnsi="Calibri" w:cs="Calibri"/>
        </w:rPr>
        <w:t>pełen zakres usług z</w:t>
      </w:r>
      <w:r>
        <w:rPr>
          <w:rFonts w:ascii="Calibri" w:hAnsi="Calibri" w:cs="Calibri"/>
        </w:rPr>
        <w:t>wiązanych z organizacją i obsłu</w:t>
      </w:r>
      <w:r w:rsidRPr="006C7903">
        <w:rPr>
          <w:rFonts w:ascii="Calibri" w:hAnsi="Calibri" w:cs="Calibri"/>
        </w:rPr>
        <w:t>gą konferencji, szkoleń, imprez integracyjnych, targów oraz spotkań biznesowych</w:t>
      </w:r>
      <w:r>
        <w:rPr>
          <w:rFonts w:ascii="Calibri" w:hAnsi="Calibri" w:cs="Calibri"/>
        </w:rPr>
        <w:t>. Park dysponuje salą 300 osobową, 100 osobową, salą biznesowo-szkoleniową oraz 2 salami kameralnymi do organizacji spotkań biznesowych i towarzyszących.</w:t>
      </w:r>
      <w:r w:rsidR="009570ED">
        <w:rPr>
          <w:rFonts w:ascii="Calibri" w:hAnsi="Calibri" w:cs="Calibri"/>
        </w:rPr>
        <w:t xml:space="preserve"> Infrastruktura Parku jest unikalna w tej części regionu, pozostaje również istotnym atutem biorąc pod uwagę region przygraniczny Polski i Litwy. </w:t>
      </w:r>
    </w:p>
    <w:p w:rsidR="007C7F16" w:rsidRDefault="007C7F16" w:rsidP="00BE1441">
      <w:pPr>
        <w:pStyle w:val="Akapitzlist"/>
        <w:autoSpaceDE w:val="0"/>
        <w:autoSpaceDN w:val="0"/>
        <w:adjustRightInd w:val="0"/>
        <w:spacing w:after="0" w:line="240" w:lineRule="auto"/>
        <w:ind w:left="0"/>
        <w:jc w:val="both"/>
        <w:rPr>
          <w:rFonts w:ascii="Calibri" w:hAnsi="Calibri" w:cs="Calibri"/>
        </w:rPr>
      </w:pPr>
    </w:p>
    <w:p w:rsidR="00131002" w:rsidRDefault="00E11E2C" w:rsidP="00BE1441">
      <w:pPr>
        <w:pStyle w:val="Akapitzlist"/>
        <w:autoSpaceDE w:val="0"/>
        <w:autoSpaceDN w:val="0"/>
        <w:adjustRightInd w:val="0"/>
        <w:spacing w:after="0" w:line="240" w:lineRule="auto"/>
        <w:ind w:left="0"/>
        <w:jc w:val="both"/>
        <w:rPr>
          <w:rFonts w:ascii="Calibri" w:hAnsi="Calibri" w:cs="Calibri"/>
        </w:rPr>
      </w:pPr>
      <w:r>
        <w:rPr>
          <w:rFonts w:ascii="Calibri" w:hAnsi="Calibri" w:cs="Calibri"/>
        </w:rPr>
        <w:t>Jednocześnie, w</w:t>
      </w:r>
      <w:r w:rsidR="00131002">
        <w:rPr>
          <w:rFonts w:ascii="Calibri" w:hAnsi="Calibri" w:cs="Calibri"/>
        </w:rPr>
        <w:t xml:space="preserve"> przewidywalnej perspektywie czasowej poprawi się skomunikowanie miasta z resztą kraju </w:t>
      </w:r>
      <w:r w:rsidR="00872163">
        <w:rPr>
          <w:rFonts w:ascii="Calibri" w:hAnsi="Calibri" w:cs="Calibri"/>
        </w:rPr>
        <w:t xml:space="preserve">oraz otoczeniem zagranicznym </w:t>
      </w:r>
      <w:r w:rsidR="00E502B3">
        <w:rPr>
          <w:rFonts w:ascii="Calibri" w:hAnsi="Calibri" w:cs="Calibri"/>
        </w:rPr>
        <w:t>dzięki planom</w:t>
      </w:r>
      <w:r w:rsidR="00131002">
        <w:rPr>
          <w:rFonts w:ascii="Calibri" w:hAnsi="Calibri" w:cs="Calibri"/>
        </w:rPr>
        <w:t xml:space="preserve"> realizacji </w:t>
      </w:r>
      <w:r w:rsidR="003D7349">
        <w:rPr>
          <w:rFonts w:ascii="Calibri" w:hAnsi="Calibri" w:cs="Calibri"/>
        </w:rPr>
        <w:t>inwestycji takich jak</w:t>
      </w:r>
      <w:r w:rsidR="00131002">
        <w:rPr>
          <w:rFonts w:ascii="Calibri" w:hAnsi="Calibri" w:cs="Calibri"/>
        </w:rPr>
        <w:t xml:space="preserve">: droga ekspresowa S-61, linia kolejowa E-75 </w:t>
      </w:r>
      <w:proofErr w:type="spellStart"/>
      <w:r w:rsidR="00131002">
        <w:rPr>
          <w:rFonts w:ascii="Calibri" w:hAnsi="Calibri" w:cs="Calibri"/>
        </w:rPr>
        <w:t>Rail</w:t>
      </w:r>
      <w:proofErr w:type="spellEnd"/>
      <w:r w:rsidR="00131002">
        <w:rPr>
          <w:rFonts w:ascii="Calibri" w:hAnsi="Calibri" w:cs="Calibri"/>
        </w:rPr>
        <w:t xml:space="preserve"> </w:t>
      </w:r>
      <w:proofErr w:type="spellStart"/>
      <w:r w:rsidR="00131002">
        <w:rPr>
          <w:rFonts w:ascii="Calibri" w:hAnsi="Calibri" w:cs="Calibri"/>
        </w:rPr>
        <w:t>Baltica</w:t>
      </w:r>
      <w:proofErr w:type="spellEnd"/>
      <w:r w:rsidR="00131002">
        <w:rPr>
          <w:rFonts w:ascii="Calibri" w:hAnsi="Calibri" w:cs="Calibri"/>
        </w:rPr>
        <w:t xml:space="preserve"> oraz </w:t>
      </w:r>
      <w:r w:rsidR="003D7349">
        <w:rPr>
          <w:rFonts w:ascii="Calibri" w:hAnsi="Calibri" w:cs="Calibri"/>
        </w:rPr>
        <w:t>lotnisko lokalne</w:t>
      </w:r>
      <w:r w:rsidR="00131002">
        <w:rPr>
          <w:rFonts w:ascii="Calibri" w:hAnsi="Calibri" w:cs="Calibri"/>
        </w:rPr>
        <w:t xml:space="preserve"> w Suwałkach</w:t>
      </w:r>
      <w:r w:rsidR="00131002" w:rsidRPr="00131002">
        <w:rPr>
          <w:rFonts w:ascii="Calibri" w:hAnsi="Calibri" w:cs="Calibri"/>
        </w:rPr>
        <w:t xml:space="preserve">. </w:t>
      </w:r>
    </w:p>
    <w:p w:rsidR="00131002" w:rsidRPr="006C7903" w:rsidRDefault="00131002" w:rsidP="00BE1441">
      <w:pPr>
        <w:autoSpaceDE w:val="0"/>
        <w:autoSpaceDN w:val="0"/>
        <w:adjustRightInd w:val="0"/>
        <w:spacing w:after="0" w:line="240" w:lineRule="auto"/>
        <w:jc w:val="both"/>
        <w:rPr>
          <w:rFonts w:ascii="Calibri" w:hAnsi="Calibri" w:cs="Calibri"/>
        </w:rPr>
      </w:pPr>
    </w:p>
    <w:p w:rsidR="00131002" w:rsidRDefault="003D7349" w:rsidP="00BE1441">
      <w:pPr>
        <w:pStyle w:val="Akapitzlist"/>
        <w:autoSpaceDE w:val="0"/>
        <w:autoSpaceDN w:val="0"/>
        <w:adjustRightInd w:val="0"/>
        <w:spacing w:after="0" w:line="240" w:lineRule="auto"/>
        <w:ind w:left="0"/>
        <w:jc w:val="both"/>
        <w:rPr>
          <w:rFonts w:ascii="Calibri" w:hAnsi="Calibri" w:cs="Calibri"/>
        </w:rPr>
      </w:pPr>
      <w:r>
        <w:rPr>
          <w:rFonts w:ascii="Calibri" w:hAnsi="Calibri" w:cs="Calibri"/>
        </w:rPr>
        <w:t xml:space="preserve">W związku z powyższym, niezbędne są działania mające na celu </w:t>
      </w:r>
      <w:r w:rsidRPr="006C7903">
        <w:rPr>
          <w:rFonts w:ascii="Calibri" w:hAnsi="Calibri" w:cs="Calibri"/>
          <w:b/>
        </w:rPr>
        <w:t>wypromowanie Suwałk jako rozpoznawalnego centrum kongresowego w Polsce północno-wschodniej</w:t>
      </w:r>
      <w:r>
        <w:rPr>
          <w:rFonts w:ascii="Calibri" w:hAnsi="Calibri" w:cs="Calibri"/>
        </w:rPr>
        <w:t>. W ramach takich działań należałoby uwzględnić:</w:t>
      </w:r>
    </w:p>
    <w:p w:rsidR="003D7349" w:rsidRPr="006C7903" w:rsidRDefault="003D7349" w:rsidP="00BE1441">
      <w:pPr>
        <w:autoSpaceDE w:val="0"/>
        <w:autoSpaceDN w:val="0"/>
        <w:adjustRightInd w:val="0"/>
        <w:spacing w:after="0" w:line="240" w:lineRule="auto"/>
        <w:jc w:val="both"/>
        <w:rPr>
          <w:rFonts w:ascii="Calibri" w:hAnsi="Calibri" w:cs="Calibri"/>
        </w:rPr>
      </w:pPr>
    </w:p>
    <w:p w:rsidR="00EA6E65" w:rsidRDefault="006C7903" w:rsidP="00FE3FC5">
      <w:pPr>
        <w:pStyle w:val="Akapitzlist"/>
        <w:numPr>
          <w:ilvl w:val="0"/>
          <w:numId w:val="15"/>
        </w:numPr>
        <w:autoSpaceDE w:val="0"/>
        <w:autoSpaceDN w:val="0"/>
        <w:adjustRightInd w:val="0"/>
        <w:spacing w:after="0" w:line="240" w:lineRule="auto"/>
        <w:jc w:val="both"/>
        <w:rPr>
          <w:rFonts w:ascii="Calibri" w:hAnsi="Calibri" w:cs="Calibri"/>
        </w:rPr>
      </w:pPr>
      <w:r>
        <w:rPr>
          <w:rFonts w:ascii="Calibri" w:hAnsi="Calibri" w:cs="Calibri"/>
        </w:rPr>
        <w:t>Wspólną ofertę konferencyjną</w:t>
      </w:r>
      <w:r w:rsidR="003D7349">
        <w:rPr>
          <w:rFonts w:ascii="Calibri" w:hAnsi="Calibri" w:cs="Calibri"/>
        </w:rPr>
        <w:t xml:space="preserve"> branży MICE w Suwałkach – wykreowanie we współpracy</w:t>
      </w:r>
      <w:r w:rsidR="00EA6E65">
        <w:rPr>
          <w:rFonts w:ascii="Calibri" w:hAnsi="Calibri" w:cs="Calibri"/>
        </w:rPr>
        <w:t xml:space="preserve"> i w partnerstwie</w:t>
      </w:r>
      <w:r w:rsidR="003D7349">
        <w:rPr>
          <w:rFonts w:ascii="Calibri" w:hAnsi="Calibri" w:cs="Calibri"/>
        </w:rPr>
        <w:t xml:space="preserve"> z </w:t>
      </w:r>
      <w:r w:rsidR="00EA6E65">
        <w:rPr>
          <w:rFonts w:ascii="Calibri" w:hAnsi="Calibri" w:cs="Calibri"/>
        </w:rPr>
        <w:t>jedną z istniejących</w:t>
      </w:r>
      <w:r w:rsidR="00F34CF7">
        <w:rPr>
          <w:rFonts w:ascii="Calibri" w:hAnsi="Calibri" w:cs="Calibri"/>
        </w:rPr>
        <w:t xml:space="preserve"> organizacji branżowych</w:t>
      </w:r>
      <w:r w:rsidR="003D7349">
        <w:rPr>
          <w:rFonts w:ascii="Calibri" w:hAnsi="Calibri" w:cs="Calibri"/>
        </w:rPr>
        <w:t xml:space="preserve"> (SIRT, SOT</w:t>
      </w:r>
      <w:r w:rsidR="00A8055C">
        <w:rPr>
          <w:rFonts w:ascii="Calibri" w:hAnsi="Calibri" w:cs="Calibri"/>
        </w:rPr>
        <w:t>, Klaster Marek Turystycznych Polski Wschodniej</w:t>
      </w:r>
      <w:r w:rsidR="003D7349">
        <w:rPr>
          <w:rFonts w:ascii="Calibri" w:hAnsi="Calibri" w:cs="Calibri"/>
        </w:rPr>
        <w:t>) wspólnych produktów w zakresie turystyki kongresowej</w:t>
      </w:r>
      <w:r w:rsidR="00EA6E65">
        <w:rPr>
          <w:rFonts w:ascii="Calibri" w:hAnsi="Calibri" w:cs="Calibri"/>
        </w:rPr>
        <w:t xml:space="preserve"> (pakietu produktów)</w:t>
      </w:r>
      <w:r w:rsidR="00F34CF7">
        <w:rPr>
          <w:rFonts w:ascii="Calibri" w:hAnsi="Calibri" w:cs="Calibri"/>
        </w:rPr>
        <w:t>. Być może celowe byłoby powołanie w</w:t>
      </w:r>
      <w:r w:rsidR="00642341">
        <w:rPr>
          <w:rFonts w:ascii="Calibri" w:hAnsi="Calibri" w:cs="Calibri"/>
        </w:rPr>
        <w:t xml:space="preserve"> Suwałkach </w:t>
      </w:r>
      <w:proofErr w:type="spellStart"/>
      <w:r w:rsidR="00642341">
        <w:rPr>
          <w:rFonts w:ascii="Calibri" w:hAnsi="Calibri" w:cs="Calibri"/>
        </w:rPr>
        <w:t>Klastra</w:t>
      </w:r>
      <w:proofErr w:type="spellEnd"/>
      <w:r w:rsidR="00642341">
        <w:rPr>
          <w:rFonts w:ascii="Calibri" w:hAnsi="Calibri" w:cs="Calibri"/>
        </w:rPr>
        <w:t xml:space="preserve"> Kongresowego</w:t>
      </w:r>
      <w:r w:rsidR="00EA6E65">
        <w:rPr>
          <w:rFonts w:ascii="Calibri" w:hAnsi="Calibri" w:cs="Calibri"/>
        </w:rPr>
        <w:t>;</w:t>
      </w:r>
    </w:p>
    <w:p w:rsidR="00EA6E65" w:rsidRDefault="00EA6E65" w:rsidP="00FE3FC5">
      <w:pPr>
        <w:pStyle w:val="Akapitzlist"/>
        <w:numPr>
          <w:ilvl w:val="0"/>
          <w:numId w:val="15"/>
        </w:numPr>
        <w:autoSpaceDE w:val="0"/>
        <w:autoSpaceDN w:val="0"/>
        <w:adjustRightInd w:val="0"/>
        <w:spacing w:after="0" w:line="240" w:lineRule="auto"/>
        <w:jc w:val="both"/>
        <w:rPr>
          <w:rFonts w:ascii="Calibri" w:hAnsi="Calibri" w:cs="Calibri"/>
        </w:rPr>
      </w:pPr>
      <w:r>
        <w:rPr>
          <w:rFonts w:ascii="Calibri" w:hAnsi="Calibri" w:cs="Calibri"/>
        </w:rPr>
        <w:t>W</w:t>
      </w:r>
      <w:r w:rsidR="006C7903">
        <w:rPr>
          <w:rFonts w:ascii="Calibri" w:hAnsi="Calibri" w:cs="Calibri"/>
        </w:rPr>
        <w:t>spólną promocję</w:t>
      </w:r>
      <w:r>
        <w:rPr>
          <w:rFonts w:ascii="Calibri" w:hAnsi="Calibri" w:cs="Calibri"/>
        </w:rPr>
        <w:t xml:space="preserve"> oferty</w:t>
      </w:r>
      <w:r w:rsidR="003D7349">
        <w:rPr>
          <w:rFonts w:ascii="Calibri" w:hAnsi="Calibri" w:cs="Calibri"/>
        </w:rPr>
        <w:t xml:space="preserve"> </w:t>
      </w:r>
      <w:r>
        <w:rPr>
          <w:rFonts w:ascii="Calibri" w:hAnsi="Calibri" w:cs="Calibri"/>
        </w:rPr>
        <w:t>na różnego rodzaju forach, targach, z wykorzystaniem różnych narzędzi, w szczególności z wykorzystaniem Internetu, portali społecznościowych, etc.;</w:t>
      </w:r>
    </w:p>
    <w:p w:rsidR="003D7349" w:rsidRDefault="002146B8" w:rsidP="00FE3FC5">
      <w:pPr>
        <w:pStyle w:val="Akapitzlist"/>
        <w:numPr>
          <w:ilvl w:val="0"/>
          <w:numId w:val="15"/>
        </w:numPr>
        <w:autoSpaceDE w:val="0"/>
        <w:autoSpaceDN w:val="0"/>
        <w:adjustRightInd w:val="0"/>
        <w:spacing w:after="0" w:line="240" w:lineRule="auto"/>
        <w:jc w:val="both"/>
        <w:rPr>
          <w:rFonts w:ascii="Calibri" w:hAnsi="Calibri" w:cs="Calibri"/>
        </w:rPr>
      </w:pPr>
      <w:r>
        <w:rPr>
          <w:rFonts w:ascii="Calibri" w:hAnsi="Calibri" w:cs="Calibri"/>
        </w:rPr>
        <w:t>W</w:t>
      </w:r>
      <w:r w:rsidR="00EA6E65">
        <w:rPr>
          <w:rFonts w:ascii="Calibri" w:hAnsi="Calibri" w:cs="Calibri"/>
        </w:rPr>
        <w:t xml:space="preserve">ypromowanie </w:t>
      </w:r>
      <w:r w:rsidR="007123BD">
        <w:rPr>
          <w:rFonts w:ascii="Calibri" w:hAnsi="Calibri" w:cs="Calibri"/>
        </w:rPr>
        <w:t xml:space="preserve">co najmniej </w:t>
      </w:r>
      <w:r w:rsidR="00EA6E65">
        <w:rPr>
          <w:rFonts w:ascii="Calibri" w:hAnsi="Calibri" w:cs="Calibri"/>
        </w:rPr>
        <w:t xml:space="preserve">jednego rozpoznawalnego wydarzenia kongresowego organizowanego cyklicznie w Suwałkach. </w:t>
      </w:r>
    </w:p>
    <w:p w:rsidR="00EA6E65" w:rsidRDefault="00EA6E65" w:rsidP="00E94888">
      <w:pPr>
        <w:autoSpaceDE w:val="0"/>
        <w:autoSpaceDN w:val="0"/>
        <w:adjustRightInd w:val="0"/>
        <w:spacing w:after="0" w:line="240" w:lineRule="auto"/>
        <w:jc w:val="both"/>
        <w:rPr>
          <w:rFonts w:ascii="Calibri" w:hAnsi="Calibri" w:cs="Calibri"/>
        </w:rPr>
      </w:pPr>
    </w:p>
    <w:p w:rsidR="006F58C8" w:rsidRDefault="00EA6E65" w:rsidP="00BE1441">
      <w:pPr>
        <w:autoSpaceDE w:val="0"/>
        <w:autoSpaceDN w:val="0"/>
        <w:adjustRightInd w:val="0"/>
        <w:spacing w:after="0" w:line="240" w:lineRule="auto"/>
        <w:jc w:val="both"/>
        <w:rPr>
          <w:rFonts w:ascii="Calibri" w:hAnsi="Calibri" w:cs="Calibri"/>
        </w:rPr>
      </w:pPr>
      <w:r>
        <w:rPr>
          <w:rFonts w:ascii="Calibri" w:hAnsi="Calibri" w:cs="Calibri"/>
        </w:rPr>
        <w:t>Działania te doprowadzą do wydłużenia sezonu turystycznego</w:t>
      </w:r>
      <w:r w:rsidR="007553A9">
        <w:rPr>
          <w:rFonts w:ascii="Calibri" w:hAnsi="Calibri" w:cs="Calibri"/>
        </w:rPr>
        <w:t xml:space="preserve"> w miesiącach październik-marzec, </w:t>
      </w:r>
      <w:r w:rsidR="007123BD">
        <w:rPr>
          <w:rFonts w:ascii="Calibri" w:hAnsi="Calibri" w:cs="Calibri"/>
        </w:rPr>
        <w:t xml:space="preserve">co w konsekwencji przyczyni się do </w:t>
      </w:r>
      <w:r w:rsidR="007553A9">
        <w:rPr>
          <w:rFonts w:ascii="Calibri" w:hAnsi="Calibri" w:cs="Calibri"/>
        </w:rPr>
        <w:t xml:space="preserve">zwiększenia liczby turystów </w:t>
      </w:r>
      <w:r w:rsidR="006C7903">
        <w:rPr>
          <w:rFonts w:ascii="Calibri" w:hAnsi="Calibri" w:cs="Calibri"/>
        </w:rPr>
        <w:t xml:space="preserve">i </w:t>
      </w:r>
      <w:r w:rsidR="007123BD">
        <w:rPr>
          <w:rFonts w:ascii="Calibri" w:hAnsi="Calibri" w:cs="Calibri"/>
        </w:rPr>
        <w:t>w pozytywny sposób wpłynie</w:t>
      </w:r>
      <w:r w:rsidR="007553A9">
        <w:rPr>
          <w:rFonts w:ascii="Calibri" w:hAnsi="Calibri" w:cs="Calibri"/>
        </w:rPr>
        <w:t xml:space="preserve"> na działające w mieście podmioty z branży hotelarskiej</w:t>
      </w:r>
      <w:r w:rsidR="007123BD">
        <w:rPr>
          <w:rFonts w:ascii="Calibri" w:hAnsi="Calibri" w:cs="Calibri"/>
        </w:rPr>
        <w:t xml:space="preserve"> i gastronomicznej</w:t>
      </w:r>
      <w:r w:rsidR="007553A9">
        <w:rPr>
          <w:rFonts w:ascii="Calibri" w:hAnsi="Calibri" w:cs="Calibri"/>
        </w:rPr>
        <w:t>.</w:t>
      </w:r>
    </w:p>
    <w:p w:rsidR="00706B7F" w:rsidRDefault="00706B7F" w:rsidP="00BE1441">
      <w:pPr>
        <w:autoSpaceDE w:val="0"/>
        <w:autoSpaceDN w:val="0"/>
        <w:adjustRightInd w:val="0"/>
        <w:spacing w:after="0" w:line="240" w:lineRule="auto"/>
        <w:jc w:val="both"/>
        <w:rPr>
          <w:rFonts w:ascii="Calibri" w:hAnsi="Calibri" w:cs="Calibri"/>
        </w:rPr>
      </w:pPr>
    </w:p>
    <w:p w:rsidR="00BE1441" w:rsidRDefault="00BE1441" w:rsidP="00BE1441">
      <w:pPr>
        <w:autoSpaceDE w:val="0"/>
        <w:autoSpaceDN w:val="0"/>
        <w:adjustRightInd w:val="0"/>
        <w:spacing w:after="0" w:line="240" w:lineRule="auto"/>
        <w:jc w:val="both"/>
        <w:rPr>
          <w:rFonts w:ascii="Calibri" w:hAnsi="Calibri" w:cs="Calibri"/>
        </w:rPr>
      </w:pPr>
    </w:p>
    <w:tbl>
      <w:tblPr>
        <w:tblStyle w:val="Tabela-Siatka"/>
        <w:tblW w:w="0" w:type="auto"/>
        <w:tblLook w:val="04A0"/>
      </w:tblPr>
      <w:tblGrid>
        <w:gridCol w:w="2107"/>
        <w:gridCol w:w="2248"/>
        <w:gridCol w:w="1781"/>
        <w:gridCol w:w="1403"/>
        <w:gridCol w:w="1749"/>
      </w:tblGrid>
      <w:tr w:rsidR="009E7CCE" w:rsidRPr="002B47D5" w:rsidTr="009E7CCE">
        <w:tc>
          <w:tcPr>
            <w:tcW w:w="2107" w:type="dxa"/>
            <w:shd w:val="clear" w:color="auto" w:fill="4F81BD" w:themeFill="accent1"/>
          </w:tcPr>
          <w:p w:rsidR="009E7CCE" w:rsidRPr="002B47D5" w:rsidRDefault="009E7CCE" w:rsidP="002F1D5B">
            <w:pPr>
              <w:rPr>
                <w:color w:val="FFFFFF" w:themeColor="background1"/>
                <w:sz w:val="18"/>
                <w:szCs w:val="18"/>
              </w:rPr>
            </w:pPr>
            <w:r>
              <w:rPr>
                <w:color w:val="FFFFFF" w:themeColor="background1"/>
                <w:sz w:val="18"/>
                <w:szCs w:val="18"/>
              </w:rPr>
              <w:t>Działanie</w:t>
            </w:r>
          </w:p>
        </w:tc>
        <w:tc>
          <w:tcPr>
            <w:tcW w:w="2248" w:type="dxa"/>
            <w:shd w:val="clear" w:color="auto" w:fill="4F81BD" w:themeFill="accent1"/>
          </w:tcPr>
          <w:p w:rsidR="009E7CCE" w:rsidRPr="002B47D5" w:rsidRDefault="009E7CCE" w:rsidP="002F1D5B">
            <w:pPr>
              <w:rPr>
                <w:color w:val="FFFFFF" w:themeColor="background1"/>
                <w:sz w:val="18"/>
                <w:szCs w:val="18"/>
              </w:rPr>
            </w:pPr>
            <w:r>
              <w:rPr>
                <w:color w:val="FFFFFF" w:themeColor="background1"/>
                <w:sz w:val="18"/>
                <w:szCs w:val="18"/>
              </w:rPr>
              <w:t>Podmioty odpowiedzialne</w:t>
            </w:r>
          </w:p>
        </w:tc>
        <w:tc>
          <w:tcPr>
            <w:tcW w:w="1781" w:type="dxa"/>
            <w:shd w:val="clear" w:color="auto" w:fill="4F81BD" w:themeFill="accent1"/>
          </w:tcPr>
          <w:p w:rsidR="009E7CCE" w:rsidRPr="002B47D5" w:rsidRDefault="009E7CCE" w:rsidP="002F1D5B">
            <w:pPr>
              <w:rPr>
                <w:color w:val="FFFFFF" w:themeColor="background1"/>
                <w:sz w:val="18"/>
                <w:szCs w:val="18"/>
              </w:rPr>
            </w:pPr>
            <w:r>
              <w:rPr>
                <w:color w:val="FFFFFF" w:themeColor="background1"/>
                <w:sz w:val="18"/>
                <w:szCs w:val="18"/>
              </w:rPr>
              <w:t>Grupy docelowe</w:t>
            </w:r>
          </w:p>
        </w:tc>
        <w:tc>
          <w:tcPr>
            <w:tcW w:w="1403" w:type="dxa"/>
            <w:shd w:val="clear" w:color="auto" w:fill="4F81BD" w:themeFill="accent1"/>
          </w:tcPr>
          <w:p w:rsidR="009E7CCE" w:rsidRDefault="009E7CCE" w:rsidP="002F1D5B">
            <w:pPr>
              <w:rPr>
                <w:color w:val="FFFFFF" w:themeColor="background1"/>
                <w:sz w:val="18"/>
                <w:szCs w:val="18"/>
              </w:rPr>
            </w:pPr>
            <w:r>
              <w:rPr>
                <w:color w:val="FFFFFF" w:themeColor="background1"/>
                <w:sz w:val="18"/>
                <w:szCs w:val="18"/>
              </w:rPr>
              <w:t>Koszt</w:t>
            </w:r>
          </w:p>
        </w:tc>
        <w:tc>
          <w:tcPr>
            <w:tcW w:w="1749" w:type="dxa"/>
            <w:shd w:val="clear" w:color="auto" w:fill="4F81BD" w:themeFill="accent1"/>
          </w:tcPr>
          <w:p w:rsidR="009E7CCE" w:rsidRPr="002B47D5" w:rsidRDefault="009E7CCE" w:rsidP="002F1D5B">
            <w:pPr>
              <w:rPr>
                <w:color w:val="FFFFFF" w:themeColor="background1"/>
                <w:sz w:val="18"/>
                <w:szCs w:val="18"/>
              </w:rPr>
            </w:pPr>
            <w:r>
              <w:rPr>
                <w:color w:val="FFFFFF" w:themeColor="background1"/>
                <w:sz w:val="18"/>
                <w:szCs w:val="18"/>
              </w:rPr>
              <w:t>Źródła finansowania</w:t>
            </w:r>
          </w:p>
        </w:tc>
      </w:tr>
      <w:tr w:rsidR="009E7CCE" w:rsidRPr="002B47D5" w:rsidTr="009E7CCE">
        <w:tc>
          <w:tcPr>
            <w:tcW w:w="2107" w:type="dxa"/>
          </w:tcPr>
          <w:p w:rsidR="009E7CCE" w:rsidRPr="005152A0" w:rsidRDefault="009E7CCE" w:rsidP="002F1D5B">
            <w:pPr>
              <w:jc w:val="both"/>
              <w:rPr>
                <w:sz w:val="18"/>
                <w:szCs w:val="18"/>
              </w:rPr>
            </w:pPr>
            <w:r>
              <w:rPr>
                <w:sz w:val="18"/>
                <w:szCs w:val="18"/>
              </w:rPr>
              <w:t>Wspólna oferta kongresowa w Suwałkach</w:t>
            </w:r>
          </w:p>
        </w:tc>
        <w:tc>
          <w:tcPr>
            <w:tcW w:w="2248" w:type="dxa"/>
          </w:tcPr>
          <w:p w:rsidR="009E7CCE" w:rsidRPr="002B47D5" w:rsidRDefault="009E7CCE" w:rsidP="002F1D5B">
            <w:pPr>
              <w:jc w:val="both"/>
              <w:rPr>
                <w:sz w:val="18"/>
                <w:szCs w:val="18"/>
              </w:rPr>
            </w:pPr>
            <w:r>
              <w:rPr>
                <w:sz w:val="18"/>
                <w:szCs w:val="18"/>
              </w:rPr>
              <w:t>Park NT, branża hotelowa</w:t>
            </w:r>
          </w:p>
        </w:tc>
        <w:tc>
          <w:tcPr>
            <w:tcW w:w="1781" w:type="dxa"/>
          </w:tcPr>
          <w:p w:rsidR="009E7CCE" w:rsidRPr="002B47D5" w:rsidRDefault="009E7CCE" w:rsidP="002F1D5B">
            <w:pPr>
              <w:jc w:val="both"/>
              <w:rPr>
                <w:sz w:val="18"/>
                <w:szCs w:val="18"/>
              </w:rPr>
            </w:pPr>
            <w:r>
              <w:rPr>
                <w:sz w:val="18"/>
                <w:szCs w:val="18"/>
              </w:rPr>
              <w:t>Przedsiębiorcy</w:t>
            </w:r>
          </w:p>
        </w:tc>
        <w:tc>
          <w:tcPr>
            <w:tcW w:w="1403" w:type="dxa"/>
          </w:tcPr>
          <w:p w:rsidR="009E7CCE" w:rsidRDefault="009E7CCE" w:rsidP="002F1D5B">
            <w:pPr>
              <w:jc w:val="both"/>
              <w:rPr>
                <w:sz w:val="18"/>
                <w:szCs w:val="18"/>
              </w:rPr>
            </w:pPr>
            <w:r>
              <w:rPr>
                <w:sz w:val="18"/>
                <w:szCs w:val="18"/>
              </w:rPr>
              <w:t>-</w:t>
            </w:r>
          </w:p>
        </w:tc>
        <w:tc>
          <w:tcPr>
            <w:tcW w:w="1749" w:type="dxa"/>
          </w:tcPr>
          <w:p w:rsidR="009E7CCE" w:rsidRPr="002B47D5" w:rsidRDefault="009E7CCE" w:rsidP="002F1D5B">
            <w:pPr>
              <w:jc w:val="both"/>
              <w:rPr>
                <w:sz w:val="18"/>
                <w:szCs w:val="18"/>
              </w:rPr>
            </w:pPr>
            <w:r>
              <w:rPr>
                <w:sz w:val="18"/>
                <w:szCs w:val="18"/>
              </w:rPr>
              <w:t>Środki własne</w:t>
            </w:r>
          </w:p>
        </w:tc>
      </w:tr>
      <w:tr w:rsidR="009E7CCE" w:rsidRPr="002B47D5" w:rsidTr="009E7CCE">
        <w:tc>
          <w:tcPr>
            <w:tcW w:w="2107" w:type="dxa"/>
          </w:tcPr>
          <w:p w:rsidR="009E7CCE" w:rsidRPr="005152A0" w:rsidRDefault="009E7CCE" w:rsidP="002F1D5B">
            <w:pPr>
              <w:jc w:val="both"/>
              <w:rPr>
                <w:sz w:val="18"/>
                <w:szCs w:val="18"/>
              </w:rPr>
            </w:pPr>
            <w:r>
              <w:rPr>
                <w:sz w:val="18"/>
                <w:szCs w:val="18"/>
              </w:rPr>
              <w:t>Wspólna promocja</w:t>
            </w:r>
          </w:p>
        </w:tc>
        <w:tc>
          <w:tcPr>
            <w:tcW w:w="2248" w:type="dxa"/>
          </w:tcPr>
          <w:p w:rsidR="009E7CCE" w:rsidRPr="002B47D5" w:rsidRDefault="009E7CCE" w:rsidP="00F7670E">
            <w:pPr>
              <w:jc w:val="both"/>
              <w:rPr>
                <w:sz w:val="18"/>
                <w:szCs w:val="18"/>
              </w:rPr>
            </w:pPr>
            <w:r>
              <w:rPr>
                <w:sz w:val="18"/>
                <w:szCs w:val="18"/>
              </w:rPr>
              <w:t>Park NT, branża hotelowa</w:t>
            </w:r>
          </w:p>
        </w:tc>
        <w:tc>
          <w:tcPr>
            <w:tcW w:w="1781" w:type="dxa"/>
          </w:tcPr>
          <w:p w:rsidR="009E7CCE" w:rsidRPr="002B47D5" w:rsidRDefault="009E7CCE" w:rsidP="00F7670E">
            <w:pPr>
              <w:jc w:val="both"/>
              <w:rPr>
                <w:sz w:val="18"/>
                <w:szCs w:val="18"/>
              </w:rPr>
            </w:pPr>
            <w:r>
              <w:rPr>
                <w:sz w:val="18"/>
                <w:szCs w:val="18"/>
              </w:rPr>
              <w:t>Przedsiębiorcy</w:t>
            </w:r>
          </w:p>
        </w:tc>
        <w:tc>
          <w:tcPr>
            <w:tcW w:w="1403" w:type="dxa"/>
          </w:tcPr>
          <w:p w:rsidR="009E7CCE" w:rsidRDefault="009E7CCE" w:rsidP="00F7670E">
            <w:pPr>
              <w:jc w:val="both"/>
              <w:rPr>
                <w:sz w:val="18"/>
                <w:szCs w:val="18"/>
              </w:rPr>
            </w:pPr>
            <w:r>
              <w:rPr>
                <w:sz w:val="18"/>
                <w:szCs w:val="18"/>
              </w:rPr>
              <w:t>-</w:t>
            </w:r>
          </w:p>
        </w:tc>
        <w:tc>
          <w:tcPr>
            <w:tcW w:w="1749" w:type="dxa"/>
          </w:tcPr>
          <w:p w:rsidR="009E7CCE" w:rsidRPr="002B47D5" w:rsidRDefault="009E7CCE" w:rsidP="00F7670E">
            <w:pPr>
              <w:jc w:val="both"/>
              <w:rPr>
                <w:sz w:val="18"/>
                <w:szCs w:val="18"/>
              </w:rPr>
            </w:pPr>
            <w:r>
              <w:rPr>
                <w:sz w:val="18"/>
                <w:szCs w:val="18"/>
              </w:rPr>
              <w:t>Środki własne</w:t>
            </w:r>
            <w:r w:rsidR="007123BD">
              <w:rPr>
                <w:sz w:val="18"/>
                <w:szCs w:val="18"/>
              </w:rPr>
              <w:t>. Środki UE</w:t>
            </w:r>
          </w:p>
        </w:tc>
      </w:tr>
      <w:tr w:rsidR="009E7CCE" w:rsidRPr="002B47D5" w:rsidTr="009E7CCE">
        <w:tc>
          <w:tcPr>
            <w:tcW w:w="2107" w:type="dxa"/>
          </w:tcPr>
          <w:p w:rsidR="009E7CCE" w:rsidRPr="005152A0" w:rsidRDefault="009E7CCE" w:rsidP="002F1D5B">
            <w:pPr>
              <w:jc w:val="both"/>
              <w:rPr>
                <w:sz w:val="18"/>
                <w:szCs w:val="18"/>
              </w:rPr>
            </w:pPr>
            <w:r>
              <w:rPr>
                <w:sz w:val="18"/>
                <w:szCs w:val="18"/>
              </w:rPr>
              <w:t>Wypromowanie jednego rozpoznawalnego wydarzenia kongresowego w mieście</w:t>
            </w:r>
          </w:p>
        </w:tc>
        <w:tc>
          <w:tcPr>
            <w:tcW w:w="2248" w:type="dxa"/>
          </w:tcPr>
          <w:p w:rsidR="009E7CCE" w:rsidRPr="002B47D5" w:rsidRDefault="009E7CCE" w:rsidP="00F7670E">
            <w:pPr>
              <w:jc w:val="both"/>
              <w:rPr>
                <w:sz w:val="18"/>
                <w:szCs w:val="18"/>
              </w:rPr>
            </w:pPr>
            <w:r>
              <w:rPr>
                <w:sz w:val="18"/>
                <w:szCs w:val="18"/>
              </w:rPr>
              <w:t>Park NT, branża hotelowa</w:t>
            </w:r>
          </w:p>
        </w:tc>
        <w:tc>
          <w:tcPr>
            <w:tcW w:w="1781" w:type="dxa"/>
          </w:tcPr>
          <w:p w:rsidR="009E7CCE" w:rsidRPr="002B47D5" w:rsidRDefault="009E7CCE" w:rsidP="00F7670E">
            <w:pPr>
              <w:jc w:val="both"/>
              <w:rPr>
                <w:sz w:val="18"/>
                <w:szCs w:val="18"/>
              </w:rPr>
            </w:pPr>
            <w:r>
              <w:rPr>
                <w:sz w:val="18"/>
                <w:szCs w:val="18"/>
              </w:rPr>
              <w:t>Przedsiębiorcy</w:t>
            </w:r>
          </w:p>
        </w:tc>
        <w:tc>
          <w:tcPr>
            <w:tcW w:w="1403" w:type="dxa"/>
          </w:tcPr>
          <w:p w:rsidR="009E7CCE" w:rsidRDefault="009E7CCE" w:rsidP="00F7670E">
            <w:pPr>
              <w:jc w:val="both"/>
              <w:rPr>
                <w:sz w:val="18"/>
                <w:szCs w:val="18"/>
              </w:rPr>
            </w:pPr>
            <w:r>
              <w:rPr>
                <w:sz w:val="18"/>
                <w:szCs w:val="18"/>
              </w:rPr>
              <w:t>-</w:t>
            </w:r>
          </w:p>
        </w:tc>
        <w:tc>
          <w:tcPr>
            <w:tcW w:w="1749" w:type="dxa"/>
          </w:tcPr>
          <w:p w:rsidR="009E7CCE" w:rsidRPr="002B47D5" w:rsidRDefault="009E7CCE" w:rsidP="00F7670E">
            <w:pPr>
              <w:jc w:val="both"/>
              <w:rPr>
                <w:sz w:val="18"/>
                <w:szCs w:val="18"/>
              </w:rPr>
            </w:pPr>
            <w:r>
              <w:rPr>
                <w:sz w:val="18"/>
                <w:szCs w:val="18"/>
              </w:rPr>
              <w:t>Środki własne</w:t>
            </w:r>
          </w:p>
        </w:tc>
      </w:tr>
    </w:tbl>
    <w:p w:rsidR="00BE1441" w:rsidRDefault="00BE1441" w:rsidP="00BE1441">
      <w:pPr>
        <w:autoSpaceDE w:val="0"/>
        <w:autoSpaceDN w:val="0"/>
        <w:adjustRightInd w:val="0"/>
        <w:spacing w:after="0" w:line="240" w:lineRule="auto"/>
        <w:jc w:val="both"/>
        <w:rPr>
          <w:rFonts w:ascii="Calibri" w:hAnsi="Calibri" w:cs="Calibri"/>
        </w:rPr>
      </w:pPr>
    </w:p>
    <w:p w:rsidR="005012BB" w:rsidRDefault="00272D44" w:rsidP="002B4566">
      <w:pPr>
        <w:pStyle w:val="Nagwek3"/>
      </w:pPr>
      <w:bookmarkStart w:id="51" w:name="_Toc390759502"/>
      <w:r>
        <w:t>1.5.3. Działania promocyjne</w:t>
      </w:r>
      <w:bookmarkEnd w:id="51"/>
    </w:p>
    <w:p w:rsidR="00C07F22" w:rsidRDefault="006073BC" w:rsidP="00C07F22">
      <w:pPr>
        <w:spacing w:after="0" w:line="240" w:lineRule="auto"/>
        <w:jc w:val="both"/>
      </w:pPr>
      <w:r>
        <w:t>Zgodnie z</w:t>
      </w:r>
      <w:r w:rsidR="00C07F22">
        <w:t xml:space="preserve"> danymi przytoczonymi w części diagnostycznej strategii rozwoju oraz programu, Suwałki wypadają relatywnie dobrze na tle innych miast z grupy kontrolnej w zakresie wskaźników gospodarczych, w szczególności dotyczących liczby podmiotów gospodarczych (3 miejsce w grupie kontrolnej), wskaźnika zatrudnienia (4 miejsce) oraz niższą od średniej wojewódzkiej i krajowej stopą bezrobocia.</w:t>
      </w:r>
    </w:p>
    <w:p w:rsidR="006073BC" w:rsidRDefault="006073BC" w:rsidP="00C07F22">
      <w:pPr>
        <w:spacing w:after="0" w:line="240" w:lineRule="auto"/>
        <w:jc w:val="both"/>
      </w:pPr>
    </w:p>
    <w:p w:rsidR="00CC024E" w:rsidRDefault="00C07F22" w:rsidP="00C07F22">
      <w:pPr>
        <w:spacing w:after="0" w:line="240" w:lineRule="auto"/>
        <w:jc w:val="both"/>
      </w:pPr>
      <w:r>
        <w:t>Największym wyzwaniem dla miasta</w:t>
      </w:r>
      <w:r w:rsidR="00CC024E">
        <w:t xml:space="preserve"> pozostaje przyciąganie kapitału zagranicznego oraz zatrzymanie stosunkowo znacznego spadku liczby podmiotów gospodarczych w mieście. Liczba spółek z kapitałem zagranicznym jest w mieście powyżej średniej dla województwa ale poniżej średniej dla miast z grupy kontrolnej. </w:t>
      </w:r>
    </w:p>
    <w:p w:rsidR="00CC024E" w:rsidRDefault="00CC024E" w:rsidP="00C07F22">
      <w:pPr>
        <w:spacing w:after="0" w:line="240" w:lineRule="auto"/>
        <w:jc w:val="both"/>
      </w:pPr>
    </w:p>
    <w:p w:rsidR="00C07F22" w:rsidRDefault="00CC024E" w:rsidP="00C07F22">
      <w:pPr>
        <w:spacing w:after="0" w:line="240" w:lineRule="auto"/>
        <w:jc w:val="both"/>
      </w:pPr>
      <w:r>
        <w:t>W przypadku dynamiki podmiotów gospodarczych, Miasto charakteryzuje się wyższym spadkiem liczby przedsiębiorstw w latach 2006-2012 niż średnie dla grupy kontrolnej, średniej krajowej i wojewódzkiej.</w:t>
      </w:r>
    </w:p>
    <w:p w:rsidR="00C07F22" w:rsidRDefault="00C07F22" w:rsidP="00C07F22">
      <w:pPr>
        <w:spacing w:after="0" w:line="240" w:lineRule="auto"/>
        <w:jc w:val="both"/>
      </w:pPr>
    </w:p>
    <w:p w:rsidR="001A3D26" w:rsidRDefault="00CC024E" w:rsidP="00EB4E9A">
      <w:pPr>
        <w:jc w:val="both"/>
      </w:pPr>
      <w:r>
        <w:t>W związku z powyższym, działania</w:t>
      </w:r>
      <w:r w:rsidR="00C07F22">
        <w:t xml:space="preserve"> p</w:t>
      </w:r>
      <w:r w:rsidR="006073BC">
        <w:t>r</w:t>
      </w:r>
      <w:r w:rsidR="00C07F22">
        <w:t>o</w:t>
      </w:r>
      <w:r>
        <w:t>mocyjne będą ukierunkowane na zatrzymanie</w:t>
      </w:r>
      <w:r w:rsidR="00EB4E9A">
        <w:t>/odwrócenie</w:t>
      </w:r>
      <w:r>
        <w:t xml:space="preserve"> </w:t>
      </w:r>
      <w:r w:rsidR="00EB4E9A">
        <w:t xml:space="preserve">tych negatywnych zjawisk. </w:t>
      </w:r>
    </w:p>
    <w:p w:rsidR="00FE59AD" w:rsidRDefault="001A3D26" w:rsidP="00BC1C74">
      <w:pPr>
        <w:spacing w:after="0" w:line="240" w:lineRule="auto"/>
        <w:jc w:val="both"/>
      </w:pPr>
      <w:r>
        <w:t>W tym celu władze miasta zakładają realizację następujących działań:</w:t>
      </w:r>
    </w:p>
    <w:p w:rsidR="001A3D26" w:rsidRDefault="00EE7C55" w:rsidP="00EE7C55">
      <w:pPr>
        <w:pStyle w:val="Nagwek4"/>
      </w:pPr>
      <w:r>
        <w:t>1.5.3.1. Działania dotyczące przedsiębiorczości lokalnej</w:t>
      </w:r>
    </w:p>
    <w:p w:rsidR="00EE7C55" w:rsidRDefault="00EE7C55" w:rsidP="00EE7C55">
      <w:pPr>
        <w:spacing w:after="0" w:line="240" w:lineRule="auto"/>
        <w:jc w:val="both"/>
      </w:pPr>
    </w:p>
    <w:p w:rsidR="00EE7C55" w:rsidRDefault="00EE7C55" w:rsidP="00EE7C55">
      <w:pPr>
        <w:spacing w:after="0" w:line="240" w:lineRule="auto"/>
        <w:jc w:val="both"/>
      </w:pPr>
      <w:r>
        <w:t>Działania będą prowadzone na kilku poziomach:</w:t>
      </w:r>
    </w:p>
    <w:p w:rsidR="00EE7C55" w:rsidRDefault="00EE7C55" w:rsidP="00FE3FC5">
      <w:pPr>
        <w:pStyle w:val="Akapitzlist"/>
        <w:numPr>
          <w:ilvl w:val="0"/>
          <w:numId w:val="22"/>
        </w:numPr>
        <w:spacing w:after="0" w:line="240" w:lineRule="auto"/>
        <w:jc w:val="both"/>
      </w:pPr>
      <w:r w:rsidRPr="00CC3FE7">
        <w:rPr>
          <w:b/>
        </w:rPr>
        <w:t>Publikacje</w:t>
      </w:r>
      <w:r>
        <w:t>:</w:t>
      </w:r>
    </w:p>
    <w:p w:rsidR="000A5C45" w:rsidRDefault="00EE7C55" w:rsidP="00FE3FC5">
      <w:pPr>
        <w:pStyle w:val="Akapitzlist"/>
        <w:numPr>
          <w:ilvl w:val="0"/>
          <w:numId w:val="23"/>
        </w:numPr>
        <w:spacing w:after="0" w:line="240" w:lineRule="auto"/>
        <w:jc w:val="both"/>
      </w:pPr>
      <w:r>
        <w:t>Przewodnik przedsiębiorcy po Suwałkach – jak zacząć i prowadzić działalność gospodarczą</w:t>
      </w:r>
      <w:r w:rsidR="00A8055C">
        <w:t xml:space="preserve"> w Suwałkach</w:t>
      </w:r>
      <w:r>
        <w:t>;</w:t>
      </w:r>
    </w:p>
    <w:p w:rsidR="00EE7C55" w:rsidRDefault="00EE7C55" w:rsidP="00FE3FC5">
      <w:pPr>
        <w:pStyle w:val="Akapitzlist"/>
        <w:numPr>
          <w:ilvl w:val="0"/>
          <w:numId w:val="22"/>
        </w:numPr>
        <w:spacing w:after="0" w:line="240" w:lineRule="auto"/>
        <w:jc w:val="both"/>
      </w:pPr>
      <w:r w:rsidRPr="00CC3FE7">
        <w:rPr>
          <w:b/>
        </w:rPr>
        <w:t>Promowanie przedsiębiorczości lokalnej</w:t>
      </w:r>
      <w:r>
        <w:t>:</w:t>
      </w:r>
    </w:p>
    <w:p w:rsidR="00EE7C55" w:rsidRDefault="00EE7C55" w:rsidP="00FE3FC5">
      <w:pPr>
        <w:pStyle w:val="Akapitzlist"/>
        <w:numPr>
          <w:ilvl w:val="0"/>
          <w:numId w:val="23"/>
        </w:numPr>
        <w:spacing w:after="0" w:line="240" w:lineRule="auto"/>
        <w:jc w:val="both"/>
      </w:pPr>
      <w:r>
        <w:t>Promocja suwalskich przedsiębiorców w miastach partnerskich Suwałk (we współpracy z samorządem gospodarczym);</w:t>
      </w:r>
    </w:p>
    <w:p w:rsidR="00EE7C55" w:rsidRDefault="00EE7C55" w:rsidP="00FE3FC5">
      <w:pPr>
        <w:pStyle w:val="Akapitzlist"/>
        <w:numPr>
          <w:ilvl w:val="0"/>
          <w:numId w:val="23"/>
        </w:numPr>
        <w:spacing w:after="0" w:line="240" w:lineRule="auto"/>
        <w:jc w:val="both"/>
      </w:pPr>
      <w:r w:rsidRPr="00EE7C55">
        <w:t>Wspólne akcje promujące zachowania i postawy przedsiębiorcze samorządu</w:t>
      </w:r>
      <w:r>
        <w:t xml:space="preserve"> gospodarczego suwalskich przedsiębiorców</w:t>
      </w:r>
      <w:r w:rsidRPr="00EE7C55">
        <w:t xml:space="preserve"> i Miasta Suwałk</w:t>
      </w:r>
      <w:r>
        <w:t xml:space="preserve"> (we współpracy z samorządem gospodarczym).</w:t>
      </w:r>
    </w:p>
    <w:p w:rsidR="00DC2DB4" w:rsidRDefault="00EE7C55" w:rsidP="00703B17">
      <w:pPr>
        <w:pStyle w:val="Akapitzlist"/>
        <w:numPr>
          <w:ilvl w:val="0"/>
          <w:numId w:val="22"/>
        </w:numPr>
        <w:spacing w:after="0" w:line="240" w:lineRule="auto"/>
        <w:jc w:val="both"/>
      </w:pPr>
      <w:r w:rsidRPr="00CC3FE7">
        <w:rPr>
          <w:b/>
        </w:rPr>
        <w:t>Zorganizowanie cyklicznej, dorocznej imprezy/konkursu promującej usługi i produkty suwalskich firm</w:t>
      </w:r>
      <w:r>
        <w:t>. Konkurs byłby prowadzony we współpracy z samorządem gospodarczym przedsiębiorców. Nagrodą w konkursie byłoby przyznanie laureatom prawa do posługiwania się przez 1 rok specjalnym znakiem, świadczącym o jakości danej usługi/produktu. Znak byłby przyznawany przez Kapitułę, w której skład wchodziliby przedstawiciele Miasta oraz przedsiębiorców.</w:t>
      </w:r>
      <w:r w:rsidR="000A5C45">
        <w:t xml:space="preserve"> Celem konkursu jest wypromowanie produktów suwalskich firm na rynku krajowym i zagranicznym</w:t>
      </w:r>
      <w:r w:rsidR="009E7CCE">
        <w:t>;</w:t>
      </w:r>
    </w:p>
    <w:p w:rsidR="00D81EC2" w:rsidRDefault="009E7CCE" w:rsidP="00FE3FC5">
      <w:pPr>
        <w:pStyle w:val="Akapitzlist"/>
        <w:numPr>
          <w:ilvl w:val="0"/>
          <w:numId w:val="22"/>
        </w:numPr>
        <w:spacing w:after="0" w:line="240" w:lineRule="auto"/>
        <w:jc w:val="both"/>
      </w:pPr>
      <w:r>
        <w:t xml:space="preserve">Zorganizowanie cyklicznej, dorocznej imprezy – </w:t>
      </w:r>
      <w:r w:rsidRPr="00DC2DB4">
        <w:rPr>
          <w:b/>
        </w:rPr>
        <w:t xml:space="preserve">Forum Biznesu </w:t>
      </w:r>
      <w:r w:rsidR="00CC795D">
        <w:rPr>
          <w:b/>
        </w:rPr>
        <w:t>Pogranicza Polski, Litwy i Rosji</w:t>
      </w:r>
      <w:r>
        <w:t xml:space="preserve"> - promującej potencjał gospodarczy Suwałk i Polski Północno-Wschodniej. Impreza przyczyni się do większej rozpoznawalności atutów gospodarczych tego regionu kraju oraz promocji Suwałk jako miasta kojarzonego z turystyką kongresową.</w:t>
      </w:r>
      <w:r w:rsidR="00DC2DB4">
        <w:t xml:space="preserve"> </w:t>
      </w:r>
    </w:p>
    <w:p w:rsidR="00DC2DB4" w:rsidRDefault="00DC2DB4" w:rsidP="00571468">
      <w:pPr>
        <w:spacing w:after="0" w:line="240" w:lineRule="auto"/>
        <w:jc w:val="both"/>
      </w:pPr>
    </w:p>
    <w:p w:rsidR="008B0ED2" w:rsidRDefault="00DC2DB4" w:rsidP="00706B7F">
      <w:pPr>
        <w:pStyle w:val="Akapitzlist"/>
        <w:spacing w:after="0" w:line="240" w:lineRule="auto"/>
        <w:ind w:left="765"/>
        <w:jc w:val="both"/>
      </w:pPr>
      <w:r>
        <w:t xml:space="preserve">Jednocześnie wydarzenie takie stanowiłoby realizację zapisów strategii rozwoju miasta i województwa w zakresie </w:t>
      </w:r>
      <w:r w:rsidR="00B645DB">
        <w:t>pełnienia przez miasto funkcji „Bramy na Wschód”.</w:t>
      </w:r>
    </w:p>
    <w:p w:rsidR="00706B7F" w:rsidRDefault="00706B7F" w:rsidP="00706B7F">
      <w:pPr>
        <w:pStyle w:val="Akapitzlist"/>
        <w:spacing w:after="0" w:line="240" w:lineRule="auto"/>
        <w:ind w:left="765"/>
        <w:jc w:val="both"/>
      </w:pPr>
    </w:p>
    <w:p w:rsidR="000A5C45" w:rsidRDefault="000A5C45" w:rsidP="000A5C45">
      <w:pPr>
        <w:pStyle w:val="Nagwek4"/>
      </w:pPr>
      <w:r>
        <w:t>1.5.3.2. Działania dotyczące inwestorów krajowych i zagranicznych</w:t>
      </w:r>
    </w:p>
    <w:p w:rsidR="000A5C45" w:rsidRDefault="000A5C45" w:rsidP="000A5C45">
      <w:pPr>
        <w:spacing w:after="0" w:line="240" w:lineRule="auto"/>
        <w:jc w:val="both"/>
      </w:pPr>
      <w:r>
        <w:t>Działania będą prowadzone na kilku poziomach:</w:t>
      </w:r>
    </w:p>
    <w:p w:rsidR="000A5C45" w:rsidRDefault="000A5C45" w:rsidP="00FE3FC5">
      <w:pPr>
        <w:pStyle w:val="Akapitzlist"/>
        <w:numPr>
          <w:ilvl w:val="0"/>
          <w:numId w:val="24"/>
        </w:numPr>
        <w:spacing w:after="0" w:line="240" w:lineRule="auto"/>
        <w:jc w:val="both"/>
      </w:pPr>
      <w:r w:rsidRPr="00CC3FE7">
        <w:rPr>
          <w:b/>
        </w:rPr>
        <w:t>Publikacje</w:t>
      </w:r>
      <w:r>
        <w:t>:</w:t>
      </w:r>
    </w:p>
    <w:p w:rsidR="000A5C45" w:rsidRDefault="000A5C45" w:rsidP="00FE3FC5">
      <w:pPr>
        <w:pStyle w:val="Akapitzlist"/>
        <w:numPr>
          <w:ilvl w:val="0"/>
          <w:numId w:val="23"/>
        </w:numPr>
        <w:spacing w:after="0" w:line="240" w:lineRule="auto"/>
        <w:jc w:val="both"/>
      </w:pPr>
      <w:r>
        <w:t>Prezentacja potencjału inwestycyjnego miasta w atrakcyjnej i przystępnej formie papierowej i elektronicznej;</w:t>
      </w:r>
    </w:p>
    <w:p w:rsidR="000A5C45" w:rsidRDefault="000A5C45" w:rsidP="00FE3FC5">
      <w:pPr>
        <w:pStyle w:val="Akapitzlist"/>
        <w:numPr>
          <w:ilvl w:val="0"/>
          <w:numId w:val="23"/>
        </w:numPr>
        <w:spacing w:after="0" w:line="240" w:lineRule="auto"/>
        <w:jc w:val="both"/>
      </w:pPr>
      <w:r>
        <w:t xml:space="preserve">Publikacje nt. korzyści wynikających z inwestowania w Suwałkach w </w:t>
      </w:r>
      <w:r w:rsidR="00E502B3">
        <w:t xml:space="preserve">krajowej </w:t>
      </w:r>
      <w:r>
        <w:t>prasie fachowej.</w:t>
      </w:r>
    </w:p>
    <w:p w:rsidR="000A5C45" w:rsidRDefault="000A5C45" w:rsidP="00FE3FC5">
      <w:pPr>
        <w:pStyle w:val="Akapitzlist"/>
        <w:numPr>
          <w:ilvl w:val="0"/>
          <w:numId w:val="24"/>
        </w:numPr>
        <w:spacing w:after="0" w:line="240" w:lineRule="auto"/>
        <w:jc w:val="both"/>
      </w:pPr>
      <w:r w:rsidRPr="00CC3FE7">
        <w:rPr>
          <w:b/>
        </w:rPr>
        <w:t>Udział w imprezach targowych</w:t>
      </w:r>
      <w:r>
        <w:t>:</w:t>
      </w:r>
    </w:p>
    <w:p w:rsidR="000A5C45" w:rsidRDefault="000A5C45" w:rsidP="00FE3FC5">
      <w:pPr>
        <w:pStyle w:val="Akapitzlist"/>
        <w:numPr>
          <w:ilvl w:val="0"/>
          <w:numId w:val="25"/>
        </w:numPr>
        <w:spacing w:after="0" w:line="240" w:lineRule="auto"/>
        <w:jc w:val="both"/>
      </w:pPr>
      <w:r>
        <w:t xml:space="preserve">Udział w imprezach targowych krajowych (Poznań, Kielce) i zagranicznych (w ramach instrumentów oferowanych np. przez PAIIZ, Urząd Marszałkowski), w tym także imprezach branżowych (np. targi CEBIT w </w:t>
      </w:r>
      <w:proofErr w:type="spellStart"/>
      <w:r>
        <w:t>Hannowerze</w:t>
      </w:r>
      <w:proofErr w:type="spellEnd"/>
      <w:r>
        <w:t>);</w:t>
      </w:r>
    </w:p>
    <w:p w:rsidR="000A5C45" w:rsidRDefault="009E7CCE" w:rsidP="00FE3FC5">
      <w:pPr>
        <w:pStyle w:val="Akapitzlist"/>
        <w:numPr>
          <w:ilvl w:val="0"/>
          <w:numId w:val="24"/>
        </w:numPr>
        <w:spacing w:after="0" w:line="240" w:lineRule="auto"/>
        <w:jc w:val="both"/>
      </w:pPr>
      <w:r w:rsidRPr="00CC3FE7">
        <w:rPr>
          <w:b/>
        </w:rPr>
        <w:t>Działania organizacyjne</w:t>
      </w:r>
      <w:r w:rsidR="000A5C45">
        <w:t>:</w:t>
      </w:r>
    </w:p>
    <w:p w:rsidR="000A5C45" w:rsidRDefault="000A5C45" w:rsidP="00FE3FC5">
      <w:pPr>
        <w:pStyle w:val="Akapitzlist"/>
        <w:numPr>
          <w:ilvl w:val="0"/>
          <w:numId w:val="25"/>
        </w:numPr>
        <w:spacing w:after="0" w:line="240" w:lineRule="auto"/>
        <w:jc w:val="both"/>
      </w:pPr>
      <w:r>
        <w:t>Zacieśnienie współpracy z PAIIZ w ramach podpisanego porozumienia o współpracy;</w:t>
      </w:r>
    </w:p>
    <w:p w:rsidR="000A5C45" w:rsidRDefault="000A5C45" w:rsidP="00FE3FC5">
      <w:pPr>
        <w:pStyle w:val="Akapitzlist"/>
        <w:numPr>
          <w:ilvl w:val="0"/>
          <w:numId w:val="25"/>
        </w:numPr>
        <w:spacing w:after="0" w:line="240" w:lineRule="auto"/>
        <w:jc w:val="both"/>
      </w:pPr>
      <w:r>
        <w:t xml:space="preserve">Stworzenie w </w:t>
      </w:r>
      <w:r w:rsidR="009E7CCE">
        <w:t>strukturach Urzędu Miejskiego, Transgranicznego Centrum Obsługi Eksportera i Inwestora, jednostki odpowiedzialnej za intensyfikację kontaktów handlowych w przygranicznym obszarze Polski i Litwy.</w:t>
      </w:r>
    </w:p>
    <w:p w:rsidR="00195AC3" w:rsidRDefault="00195AC3" w:rsidP="009E7CCE">
      <w:pPr>
        <w:pStyle w:val="Akapitzlist"/>
        <w:spacing w:after="0" w:line="240" w:lineRule="auto"/>
        <w:ind w:left="1485"/>
        <w:jc w:val="both"/>
      </w:pPr>
    </w:p>
    <w:p w:rsidR="003477F0" w:rsidRDefault="009E7CCE" w:rsidP="00AC09D4">
      <w:pPr>
        <w:pStyle w:val="Akapitzlist"/>
        <w:spacing w:after="0" w:line="240" w:lineRule="auto"/>
        <w:ind w:left="1485"/>
        <w:jc w:val="both"/>
      </w:pPr>
      <w:r>
        <w:t xml:space="preserve">W przyszłości przewiduje się wyodrębnienie w strukturze UM, </w:t>
      </w:r>
      <w:r w:rsidRPr="00195AC3">
        <w:rPr>
          <w:b/>
        </w:rPr>
        <w:t>Biura Obsługi Inwestora</w:t>
      </w:r>
      <w:r>
        <w:t>, odpowiedzialnego kompleksowo za kwestie związane z promocją inwestycyjną i obsługą inwestora.</w:t>
      </w:r>
    </w:p>
    <w:p w:rsidR="00BC1C74" w:rsidRDefault="00BC1C74" w:rsidP="00AC09D4">
      <w:pPr>
        <w:pStyle w:val="Akapitzlist"/>
        <w:spacing w:after="0" w:line="240" w:lineRule="auto"/>
        <w:ind w:left="1485"/>
        <w:jc w:val="both"/>
      </w:pPr>
    </w:p>
    <w:p w:rsidR="005F0ED9" w:rsidRPr="00FE5F87" w:rsidRDefault="005F0ED9" w:rsidP="003477F0">
      <w:pPr>
        <w:spacing w:after="0" w:line="240" w:lineRule="auto"/>
        <w:jc w:val="both"/>
      </w:pPr>
    </w:p>
    <w:tbl>
      <w:tblPr>
        <w:tblStyle w:val="Tabela-Siatka"/>
        <w:tblW w:w="0" w:type="auto"/>
        <w:tblLook w:val="04A0"/>
      </w:tblPr>
      <w:tblGrid>
        <w:gridCol w:w="2107"/>
        <w:gridCol w:w="2248"/>
        <w:gridCol w:w="1781"/>
        <w:gridCol w:w="1403"/>
        <w:gridCol w:w="1749"/>
      </w:tblGrid>
      <w:tr w:rsidR="009E7CCE" w:rsidRPr="002B47D5" w:rsidTr="00DC2DB4">
        <w:tc>
          <w:tcPr>
            <w:tcW w:w="2107" w:type="dxa"/>
            <w:shd w:val="clear" w:color="auto" w:fill="4F81BD" w:themeFill="accent1"/>
          </w:tcPr>
          <w:p w:rsidR="009E7CCE" w:rsidRPr="002B47D5" w:rsidRDefault="009E7CCE" w:rsidP="00DC2DB4">
            <w:pPr>
              <w:rPr>
                <w:color w:val="FFFFFF" w:themeColor="background1"/>
                <w:sz w:val="18"/>
                <w:szCs w:val="18"/>
              </w:rPr>
            </w:pPr>
            <w:r>
              <w:rPr>
                <w:color w:val="FFFFFF" w:themeColor="background1"/>
                <w:sz w:val="18"/>
                <w:szCs w:val="18"/>
              </w:rPr>
              <w:t>Działanie</w:t>
            </w:r>
          </w:p>
        </w:tc>
        <w:tc>
          <w:tcPr>
            <w:tcW w:w="2248" w:type="dxa"/>
            <w:shd w:val="clear" w:color="auto" w:fill="4F81BD" w:themeFill="accent1"/>
          </w:tcPr>
          <w:p w:rsidR="009E7CCE" w:rsidRPr="002B47D5" w:rsidRDefault="009E7CCE" w:rsidP="00DC2DB4">
            <w:pPr>
              <w:rPr>
                <w:color w:val="FFFFFF" w:themeColor="background1"/>
                <w:sz w:val="18"/>
                <w:szCs w:val="18"/>
              </w:rPr>
            </w:pPr>
            <w:r>
              <w:rPr>
                <w:color w:val="FFFFFF" w:themeColor="background1"/>
                <w:sz w:val="18"/>
                <w:szCs w:val="18"/>
              </w:rPr>
              <w:t>Podmioty odpowiedzialne</w:t>
            </w:r>
          </w:p>
        </w:tc>
        <w:tc>
          <w:tcPr>
            <w:tcW w:w="1781" w:type="dxa"/>
            <w:shd w:val="clear" w:color="auto" w:fill="4F81BD" w:themeFill="accent1"/>
          </w:tcPr>
          <w:p w:rsidR="009E7CCE" w:rsidRPr="002B47D5" w:rsidRDefault="009E7CCE" w:rsidP="00DC2DB4">
            <w:pPr>
              <w:rPr>
                <w:color w:val="FFFFFF" w:themeColor="background1"/>
                <w:sz w:val="18"/>
                <w:szCs w:val="18"/>
              </w:rPr>
            </w:pPr>
            <w:r>
              <w:rPr>
                <w:color w:val="FFFFFF" w:themeColor="background1"/>
                <w:sz w:val="18"/>
                <w:szCs w:val="18"/>
              </w:rPr>
              <w:t>Grupy docelowe</w:t>
            </w:r>
          </w:p>
        </w:tc>
        <w:tc>
          <w:tcPr>
            <w:tcW w:w="1403" w:type="dxa"/>
            <w:shd w:val="clear" w:color="auto" w:fill="4F81BD" w:themeFill="accent1"/>
          </w:tcPr>
          <w:p w:rsidR="009E7CCE" w:rsidRDefault="009E7CCE" w:rsidP="00DC2DB4">
            <w:pPr>
              <w:rPr>
                <w:color w:val="FFFFFF" w:themeColor="background1"/>
                <w:sz w:val="18"/>
                <w:szCs w:val="18"/>
              </w:rPr>
            </w:pPr>
            <w:r>
              <w:rPr>
                <w:color w:val="FFFFFF" w:themeColor="background1"/>
                <w:sz w:val="18"/>
                <w:szCs w:val="18"/>
              </w:rPr>
              <w:t>Koszt</w:t>
            </w:r>
          </w:p>
        </w:tc>
        <w:tc>
          <w:tcPr>
            <w:tcW w:w="1749" w:type="dxa"/>
            <w:shd w:val="clear" w:color="auto" w:fill="4F81BD" w:themeFill="accent1"/>
          </w:tcPr>
          <w:p w:rsidR="009E7CCE" w:rsidRPr="002B47D5" w:rsidRDefault="009E7CCE" w:rsidP="00DC2DB4">
            <w:pPr>
              <w:rPr>
                <w:color w:val="FFFFFF" w:themeColor="background1"/>
                <w:sz w:val="18"/>
                <w:szCs w:val="18"/>
              </w:rPr>
            </w:pPr>
            <w:r>
              <w:rPr>
                <w:color w:val="FFFFFF" w:themeColor="background1"/>
                <w:sz w:val="18"/>
                <w:szCs w:val="18"/>
              </w:rPr>
              <w:t>Źródła finansowania</w:t>
            </w:r>
          </w:p>
        </w:tc>
      </w:tr>
      <w:tr w:rsidR="009E7CCE" w:rsidRPr="002B47D5" w:rsidTr="00DC2DB4">
        <w:tc>
          <w:tcPr>
            <w:tcW w:w="2107" w:type="dxa"/>
          </w:tcPr>
          <w:p w:rsidR="009E7CCE" w:rsidRPr="005152A0" w:rsidRDefault="00C14774" w:rsidP="00E502B3">
            <w:pPr>
              <w:jc w:val="left"/>
              <w:rPr>
                <w:sz w:val="18"/>
                <w:szCs w:val="18"/>
              </w:rPr>
            </w:pPr>
            <w:r>
              <w:rPr>
                <w:sz w:val="18"/>
                <w:szCs w:val="18"/>
              </w:rPr>
              <w:t xml:space="preserve">Publikacje - </w:t>
            </w:r>
            <w:r w:rsidR="009E7CCE">
              <w:rPr>
                <w:sz w:val="18"/>
                <w:szCs w:val="18"/>
              </w:rPr>
              <w:t>Przewodnik dla przedsiębiorcy</w:t>
            </w:r>
            <w:r>
              <w:rPr>
                <w:sz w:val="18"/>
                <w:szCs w:val="18"/>
              </w:rPr>
              <w:t>, katalog inwestycyjny</w:t>
            </w:r>
          </w:p>
        </w:tc>
        <w:tc>
          <w:tcPr>
            <w:tcW w:w="2248" w:type="dxa"/>
          </w:tcPr>
          <w:p w:rsidR="009E7CCE" w:rsidRPr="002B47D5" w:rsidRDefault="009E7CCE" w:rsidP="00E502B3">
            <w:pPr>
              <w:jc w:val="left"/>
              <w:rPr>
                <w:sz w:val="18"/>
                <w:szCs w:val="18"/>
              </w:rPr>
            </w:pPr>
            <w:r>
              <w:rPr>
                <w:sz w:val="18"/>
                <w:szCs w:val="18"/>
              </w:rPr>
              <w:t>UM, RFZ</w:t>
            </w:r>
          </w:p>
        </w:tc>
        <w:tc>
          <w:tcPr>
            <w:tcW w:w="1781" w:type="dxa"/>
          </w:tcPr>
          <w:p w:rsidR="009E7CCE" w:rsidRPr="002B47D5" w:rsidRDefault="009E7CCE" w:rsidP="00E502B3">
            <w:pPr>
              <w:jc w:val="left"/>
              <w:rPr>
                <w:sz w:val="18"/>
                <w:szCs w:val="18"/>
              </w:rPr>
            </w:pPr>
            <w:r>
              <w:rPr>
                <w:sz w:val="18"/>
                <w:szCs w:val="18"/>
              </w:rPr>
              <w:t>przedsiębiorcy lokalni</w:t>
            </w:r>
            <w:r w:rsidR="00195AC3">
              <w:rPr>
                <w:sz w:val="18"/>
                <w:szCs w:val="18"/>
              </w:rPr>
              <w:t>, inwestorzy</w:t>
            </w:r>
          </w:p>
        </w:tc>
        <w:tc>
          <w:tcPr>
            <w:tcW w:w="1403" w:type="dxa"/>
          </w:tcPr>
          <w:p w:rsidR="009E7CCE" w:rsidRDefault="00CC795D" w:rsidP="00E502B3">
            <w:pPr>
              <w:jc w:val="left"/>
              <w:rPr>
                <w:sz w:val="18"/>
                <w:szCs w:val="18"/>
              </w:rPr>
            </w:pPr>
            <w:r>
              <w:rPr>
                <w:sz w:val="18"/>
                <w:szCs w:val="18"/>
              </w:rPr>
              <w:t>6.000 zł</w:t>
            </w:r>
          </w:p>
        </w:tc>
        <w:tc>
          <w:tcPr>
            <w:tcW w:w="1749" w:type="dxa"/>
          </w:tcPr>
          <w:p w:rsidR="009E7CCE" w:rsidRPr="002B47D5" w:rsidRDefault="009E7CCE" w:rsidP="00E502B3">
            <w:pPr>
              <w:jc w:val="left"/>
              <w:rPr>
                <w:sz w:val="18"/>
                <w:szCs w:val="18"/>
              </w:rPr>
            </w:pPr>
            <w:r>
              <w:rPr>
                <w:sz w:val="18"/>
                <w:szCs w:val="18"/>
              </w:rPr>
              <w:t>Środki własne, fundusze unijne</w:t>
            </w:r>
          </w:p>
        </w:tc>
      </w:tr>
      <w:tr w:rsidR="00C14774" w:rsidRPr="002B47D5" w:rsidTr="00DC2DB4">
        <w:tc>
          <w:tcPr>
            <w:tcW w:w="2107" w:type="dxa"/>
          </w:tcPr>
          <w:p w:rsidR="00C14774" w:rsidRPr="005152A0" w:rsidRDefault="00C14774" w:rsidP="00E502B3">
            <w:pPr>
              <w:jc w:val="left"/>
              <w:rPr>
                <w:sz w:val="18"/>
                <w:szCs w:val="18"/>
              </w:rPr>
            </w:pPr>
            <w:r>
              <w:rPr>
                <w:sz w:val="18"/>
                <w:szCs w:val="18"/>
              </w:rPr>
              <w:t>Działania promocyjne we współpracy z samorządem gospodarczym</w:t>
            </w:r>
          </w:p>
        </w:tc>
        <w:tc>
          <w:tcPr>
            <w:tcW w:w="2248" w:type="dxa"/>
          </w:tcPr>
          <w:p w:rsidR="00C14774" w:rsidRPr="002B47D5" w:rsidRDefault="00C14774" w:rsidP="00E502B3">
            <w:pPr>
              <w:jc w:val="left"/>
              <w:rPr>
                <w:sz w:val="18"/>
                <w:szCs w:val="18"/>
              </w:rPr>
            </w:pPr>
            <w:r>
              <w:rPr>
                <w:sz w:val="18"/>
                <w:szCs w:val="18"/>
              </w:rPr>
              <w:t>UM, RFZ</w:t>
            </w:r>
          </w:p>
        </w:tc>
        <w:tc>
          <w:tcPr>
            <w:tcW w:w="1781" w:type="dxa"/>
          </w:tcPr>
          <w:p w:rsidR="00C14774" w:rsidRPr="002B47D5" w:rsidRDefault="00C14774" w:rsidP="00E502B3">
            <w:pPr>
              <w:jc w:val="left"/>
              <w:rPr>
                <w:sz w:val="18"/>
                <w:szCs w:val="18"/>
              </w:rPr>
            </w:pPr>
            <w:r>
              <w:rPr>
                <w:sz w:val="18"/>
                <w:szCs w:val="18"/>
              </w:rPr>
              <w:t>przedsiębiorcy lokalni</w:t>
            </w:r>
            <w:r w:rsidR="00195AC3">
              <w:rPr>
                <w:sz w:val="18"/>
                <w:szCs w:val="18"/>
              </w:rPr>
              <w:t>, inwestorzy</w:t>
            </w:r>
          </w:p>
        </w:tc>
        <w:tc>
          <w:tcPr>
            <w:tcW w:w="1403" w:type="dxa"/>
          </w:tcPr>
          <w:p w:rsidR="00C14774" w:rsidRDefault="00C14774" w:rsidP="00E502B3">
            <w:pPr>
              <w:jc w:val="left"/>
              <w:rPr>
                <w:sz w:val="18"/>
                <w:szCs w:val="18"/>
              </w:rPr>
            </w:pPr>
            <w:r>
              <w:rPr>
                <w:sz w:val="18"/>
                <w:szCs w:val="18"/>
              </w:rPr>
              <w:t>-</w:t>
            </w:r>
          </w:p>
        </w:tc>
        <w:tc>
          <w:tcPr>
            <w:tcW w:w="1749" w:type="dxa"/>
          </w:tcPr>
          <w:p w:rsidR="00C14774" w:rsidRPr="002B47D5" w:rsidRDefault="00C14774" w:rsidP="00E502B3">
            <w:pPr>
              <w:jc w:val="left"/>
              <w:rPr>
                <w:sz w:val="18"/>
                <w:szCs w:val="18"/>
              </w:rPr>
            </w:pPr>
            <w:r>
              <w:rPr>
                <w:sz w:val="18"/>
                <w:szCs w:val="18"/>
              </w:rPr>
              <w:t>Środki własne, fundusze unijne</w:t>
            </w:r>
          </w:p>
        </w:tc>
      </w:tr>
      <w:tr w:rsidR="00C14774" w:rsidRPr="002B47D5" w:rsidTr="00DC2DB4">
        <w:tc>
          <w:tcPr>
            <w:tcW w:w="2107" w:type="dxa"/>
          </w:tcPr>
          <w:p w:rsidR="00C14774" w:rsidRPr="005152A0" w:rsidRDefault="00C14774" w:rsidP="00E502B3">
            <w:pPr>
              <w:jc w:val="left"/>
              <w:rPr>
                <w:sz w:val="18"/>
                <w:szCs w:val="18"/>
              </w:rPr>
            </w:pPr>
            <w:r>
              <w:rPr>
                <w:sz w:val="18"/>
                <w:szCs w:val="18"/>
              </w:rPr>
              <w:t>Suwalski znak jakości - konkurs</w:t>
            </w:r>
          </w:p>
        </w:tc>
        <w:tc>
          <w:tcPr>
            <w:tcW w:w="2248" w:type="dxa"/>
          </w:tcPr>
          <w:p w:rsidR="00C14774" w:rsidRPr="002B47D5" w:rsidRDefault="00C14774" w:rsidP="00E502B3">
            <w:pPr>
              <w:jc w:val="left"/>
              <w:rPr>
                <w:sz w:val="18"/>
                <w:szCs w:val="18"/>
              </w:rPr>
            </w:pPr>
            <w:r>
              <w:rPr>
                <w:sz w:val="18"/>
                <w:szCs w:val="18"/>
              </w:rPr>
              <w:t>UM, RFZ</w:t>
            </w:r>
          </w:p>
        </w:tc>
        <w:tc>
          <w:tcPr>
            <w:tcW w:w="1781" w:type="dxa"/>
          </w:tcPr>
          <w:p w:rsidR="00C14774" w:rsidRPr="002B47D5" w:rsidRDefault="00C14774" w:rsidP="00E502B3">
            <w:pPr>
              <w:jc w:val="left"/>
              <w:rPr>
                <w:sz w:val="18"/>
                <w:szCs w:val="18"/>
              </w:rPr>
            </w:pPr>
            <w:r>
              <w:rPr>
                <w:sz w:val="18"/>
                <w:szCs w:val="18"/>
              </w:rPr>
              <w:t>przedsiębiorcy lokalni</w:t>
            </w:r>
            <w:r w:rsidR="00195AC3">
              <w:rPr>
                <w:sz w:val="18"/>
                <w:szCs w:val="18"/>
              </w:rPr>
              <w:t>, inwestorzy</w:t>
            </w:r>
          </w:p>
        </w:tc>
        <w:tc>
          <w:tcPr>
            <w:tcW w:w="1403" w:type="dxa"/>
          </w:tcPr>
          <w:p w:rsidR="00C14774" w:rsidRDefault="00CC795D" w:rsidP="00E502B3">
            <w:pPr>
              <w:jc w:val="left"/>
              <w:rPr>
                <w:sz w:val="18"/>
                <w:szCs w:val="18"/>
              </w:rPr>
            </w:pPr>
            <w:r>
              <w:rPr>
                <w:sz w:val="18"/>
                <w:szCs w:val="18"/>
              </w:rPr>
              <w:t>10.000 zł</w:t>
            </w:r>
          </w:p>
        </w:tc>
        <w:tc>
          <w:tcPr>
            <w:tcW w:w="1749" w:type="dxa"/>
          </w:tcPr>
          <w:p w:rsidR="00C14774" w:rsidRPr="002B47D5" w:rsidRDefault="00C14774" w:rsidP="00E502B3">
            <w:pPr>
              <w:jc w:val="left"/>
              <w:rPr>
                <w:sz w:val="18"/>
                <w:szCs w:val="18"/>
              </w:rPr>
            </w:pPr>
            <w:r>
              <w:rPr>
                <w:sz w:val="18"/>
                <w:szCs w:val="18"/>
              </w:rPr>
              <w:t>Środki własne, fundusze unijne</w:t>
            </w:r>
          </w:p>
        </w:tc>
      </w:tr>
      <w:tr w:rsidR="00C14774" w:rsidRPr="002B47D5" w:rsidTr="00DC2DB4">
        <w:tc>
          <w:tcPr>
            <w:tcW w:w="2107" w:type="dxa"/>
          </w:tcPr>
          <w:p w:rsidR="00C14774" w:rsidRPr="005152A0" w:rsidRDefault="00C14774" w:rsidP="00E502B3">
            <w:pPr>
              <w:jc w:val="left"/>
              <w:rPr>
                <w:sz w:val="18"/>
                <w:szCs w:val="18"/>
              </w:rPr>
            </w:pPr>
            <w:r>
              <w:rPr>
                <w:sz w:val="18"/>
                <w:szCs w:val="18"/>
              </w:rPr>
              <w:t>Forum Biznesu Suwalszczyzny</w:t>
            </w:r>
          </w:p>
        </w:tc>
        <w:tc>
          <w:tcPr>
            <w:tcW w:w="2248" w:type="dxa"/>
          </w:tcPr>
          <w:p w:rsidR="00C14774" w:rsidRPr="002B47D5" w:rsidRDefault="00C14774" w:rsidP="00E502B3">
            <w:pPr>
              <w:jc w:val="left"/>
              <w:rPr>
                <w:sz w:val="18"/>
                <w:szCs w:val="18"/>
              </w:rPr>
            </w:pPr>
            <w:r>
              <w:rPr>
                <w:sz w:val="18"/>
                <w:szCs w:val="18"/>
              </w:rPr>
              <w:t>UM, RFZ</w:t>
            </w:r>
          </w:p>
        </w:tc>
        <w:tc>
          <w:tcPr>
            <w:tcW w:w="1781" w:type="dxa"/>
          </w:tcPr>
          <w:p w:rsidR="00C14774" w:rsidRPr="002B47D5" w:rsidRDefault="00C14774" w:rsidP="00E502B3">
            <w:pPr>
              <w:jc w:val="left"/>
              <w:rPr>
                <w:sz w:val="18"/>
                <w:szCs w:val="18"/>
              </w:rPr>
            </w:pPr>
            <w:r>
              <w:rPr>
                <w:sz w:val="18"/>
                <w:szCs w:val="18"/>
              </w:rPr>
              <w:t>przedsiębiorcy lokalni</w:t>
            </w:r>
            <w:r w:rsidR="00195AC3">
              <w:rPr>
                <w:sz w:val="18"/>
                <w:szCs w:val="18"/>
              </w:rPr>
              <w:t>, inwestorzy</w:t>
            </w:r>
          </w:p>
        </w:tc>
        <w:tc>
          <w:tcPr>
            <w:tcW w:w="1403" w:type="dxa"/>
          </w:tcPr>
          <w:p w:rsidR="00C14774" w:rsidRDefault="00CC795D" w:rsidP="00E502B3">
            <w:pPr>
              <w:jc w:val="left"/>
              <w:rPr>
                <w:sz w:val="18"/>
                <w:szCs w:val="18"/>
              </w:rPr>
            </w:pPr>
            <w:r>
              <w:rPr>
                <w:sz w:val="18"/>
                <w:szCs w:val="18"/>
              </w:rPr>
              <w:t>15.000 zł</w:t>
            </w:r>
          </w:p>
        </w:tc>
        <w:tc>
          <w:tcPr>
            <w:tcW w:w="1749" w:type="dxa"/>
          </w:tcPr>
          <w:p w:rsidR="00C14774" w:rsidRPr="002B47D5" w:rsidRDefault="00C14774" w:rsidP="00E502B3">
            <w:pPr>
              <w:jc w:val="left"/>
              <w:rPr>
                <w:sz w:val="18"/>
                <w:szCs w:val="18"/>
              </w:rPr>
            </w:pPr>
            <w:r>
              <w:rPr>
                <w:sz w:val="18"/>
                <w:szCs w:val="18"/>
              </w:rPr>
              <w:t>Środki własne, fundusze unijne</w:t>
            </w:r>
          </w:p>
        </w:tc>
      </w:tr>
      <w:tr w:rsidR="00C14774" w:rsidRPr="002B47D5" w:rsidTr="00DC2DB4">
        <w:tc>
          <w:tcPr>
            <w:tcW w:w="2107" w:type="dxa"/>
          </w:tcPr>
          <w:p w:rsidR="00C14774" w:rsidRPr="005152A0" w:rsidRDefault="00C14774" w:rsidP="00E502B3">
            <w:pPr>
              <w:jc w:val="left"/>
              <w:rPr>
                <w:sz w:val="18"/>
                <w:szCs w:val="18"/>
              </w:rPr>
            </w:pPr>
            <w:r>
              <w:rPr>
                <w:sz w:val="18"/>
                <w:szCs w:val="18"/>
              </w:rPr>
              <w:t>Udział w imprezach targowych</w:t>
            </w:r>
          </w:p>
        </w:tc>
        <w:tc>
          <w:tcPr>
            <w:tcW w:w="2248" w:type="dxa"/>
          </w:tcPr>
          <w:p w:rsidR="00C14774" w:rsidRPr="002B47D5" w:rsidRDefault="00C14774" w:rsidP="00E502B3">
            <w:pPr>
              <w:jc w:val="left"/>
              <w:rPr>
                <w:sz w:val="18"/>
                <w:szCs w:val="18"/>
              </w:rPr>
            </w:pPr>
            <w:r>
              <w:rPr>
                <w:sz w:val="18"/>
                <w:szCs w:val="18"/>
              </w:rPr>
              <w:t>UM, RFZ</w:t>
            </w:r>
          </w:p>
        </w:tc>
        <w:tc>
          <w:tcPr>
            <w:tcW w:w="1781" w:type="dxa"/>
          </w:tcPr>
          <w:p w:rsidR="00C14774" w:rsidRPr="002B47D5" w:rsidRDefault="00C14774" w:rsidP="00E502B3">
            <w:pPr>
              <w:jc w:val="left"/>
              <w:rPr>
                <w:sz w:val="18"/>
                <w:szCs w:val="18"/>
              </w:rPr>
            </w:pPr>
            <w:r>
              <w:rPr>
                <w:sz w:val="18"/>
                <w:szCs w:val="18"/>
              </w:rPr>
              <w:t>przedsiębiorcy lokalni</w:t>
            </w:r>
            <w:r w:rsidR="00195AC3">
              <w:rPr>
                <w:sz w:val="18"/>
                <w:szCs w:val="18"/>
              </w:rPr>
              <w:t>, inwestorzy</w:t>
            </w:r>
          </w:p>
        </w:tc>
        <w:tc>
          <w:tcPr>
            <w:tcW w:w="1403" w:type="dxa"/>
          </w:tcPr>
          <w:p w:rsidR="00C14774" w:rsidRDefault="00CC795D" w:rsidP="00E502B3">
            <w:pPr>
              <w:jc w:val="left"/>
              <w:rPr>
                <w:sz w:val="18"/>
                <w:szCs w:val="18"/>
              </w:rPr>
            </w:pPr>
            <w:r>
              <w:rPr>
                <w:sz w:val="18"/>
                <w:szCs w:val="18"/>
              </w:rPr>
              <w:t>20.000 zł</w:t>
            </w:r>
          </w:p>
        </w:tc>
        <w:tc>
          <w:tcPr>
            <w:tcW w:w="1749" w:type="dxa"/>
          </w:tcPr>
          <w:p w:rsidR="00C14774" w:rsidRPr="002B47D5" w:rsidRDefault="00C14774" w:rsidP="00E502B3">
            <w:pPr>
              <w:jc w:val="left"/>
              <w:rPr>
                <w:sz w:val="18"/>
                <w:szCs w:val="18"/>
              </w:rPr>
            </w:pPr>
            <w:r>
              <w:rPr>
                <w:sz w:val="18"/>
                <w:szCs w:val="18"/>
              </w:rPr>
              <w:t>Środki własne, fundusze unijne</w:t>
            </w:r>
          </w:p>
        </w:tc>
      </w:tr>
      <w:tr w:rsidR="00C14774" w:rsidRPr="002B47D5" w:rsidTr="00DC2DB4">
        <w:tc>
          <w:tcPr>
            <w:tcW w:w="2107" w:type="dxa"/>
          </w:tcPr>
          <w:p w:rsidR="00C14774" w:rsidRPr="005152A0" w:rsidRDefault="00C14774" w:rsidP="00E502B3">
            <w:pPr>
              <w:jc w:val="left"/>
              <w:rPr>
                <w:sz w:val="18"/>
                <w:szCs w:val="18"/>
              </w:rPr>
            </w:pPr>
            <w:r>
              <w:rPr>
                <w:sz w:val="18"/>
                <w:szCs w:val="18"/>
              </w:rPr>
              <w:t>Współpraca z PAI</w:t>
            </w:r>
            <w:r w:rsidR="00F576A0">
              <w:rPr>
                <w:sz w:val="18"/>
                <w:szCs w:val="18"/>
              </w:rPr>
              <w:t>I</w:t>
            </w:r>
            <w:r>
              <w:rPr>
                <w:sz w:val="18"/>
                <w:szCs w:val="18"/>
              </w:rPr>
              <w:t>Z - kontynuacja</w:t>
            </w:r>
          </w:p>
        </w:tc>
        <w:tc>
          <w:tcPr>
            <w:tcW w:w="2248" w:type="dxa"/>
          </w:tcPr>
          <w:p w:rsidR="00C14774" w:rsidRPr="002B47D5" w:rsidRDefault="00C14774" w:rsidP="00E502B3">
            <w:pPr>
              <w:jc w:val="left"/>
              <w:rPr>
                <w:sz w:val="18"/>
                <w:szCs w:val="18"/>
              </w:rPr>
            </w:pPr>
            <w:r>
              <w:rPr>
                <w:sz w:val="18"/>
                <w:szCs w:val="18"/>
              </w:rPr>
              <w:t>UM, RFZ</w:t>
            </w:r>
          </w:p>
        </w:tc>
        <w:tc>
          <w:tcPr>
            <w:tcW w:w="1781" w:type="dxa"/>
          </w:tcPr>
          <w:p w:rsidR="00C14774" w:rsidRPr="002B47D5" w:rsidRDefault="00C14774" w:rsidP="00E502B3">
            <w:pPr>
              <w:jc w:val="left"/>
              <w:rPr>
                <w:sz w:val="18"/>
                <w:szCs w:val="18"/>
              </w:rPr>
            </w:pPr>
            <w:r>
              <w:rPr>
                <w:sz w:val="18"/>
                <w:szCs w:val="18"/>
              </w:rPr>
              <w:t>przedsiębiorcy lokalni</w:t>
            </w:r>
          </w:p>
        </w:tc>
        <w:tc>
          <w:tcPr>
            <w:tcW w:w="1403" w:type="dxa"/>
          </w:tcPr>
          <w:p w:rsidR="00C14774" w:rsidRDefault="00C14774" w:rsidP="00E502B3">
            <w:pPr>
              <w:jc w:val="left"/>
              <w:rPr>
                <w:sz w:val="18"/>
                <w:szCs w:val="18"/>
              </w:rPr>
            </w:pPr>
            <w:r>
              <w:rPr>
                <w:sz w:val="18"/>
                <w:szCs w:val="18"/>
              </w:rPr>
              <w:t>-</w:t>
            </w:r>
          </w:p>
        </w:tc>
        <w:tc>
          <w:tcPr>
            <w:tcW w:w="1749" w:type="dxa"/>
          </w:tcPr>
          <w:p w:rsidR="00C14774" w:rsidRPr="002B47D5" w:rsidRDefault="00C14774" w:rsidP="00E502B3">
            <w:pPr>
              <w:jc w:val="left"/>
              <w:rPr>
                <w:sz w:val="18"/>
                <w:szCs w:val="18"/>
              </w:rPr>
            </w:pPr>
            <w:r>
              <w:rPr>
                <w:sz w:val="18"/>
                <w:szCs w:val="18"/>
              </w:rPr>
              <w:t>Środki własne, fundusze unijne</w:t>
            </w:r>
          </w:p>
        </w:tc>
      </w:tr>
      <w:tr w:rsidR="00C14774" w:rsidRPr="002B47D5" w:rsidTr="00DC2DB4">
        <w:tc>
          <w:tcPr>
            <w:tcW w:w="2107" w:type="dxa"/>
          </w:tcPr>
          <w:p w:rsidR="00C14774" w:rsidRDefault="00FE5F87" w:rsidP="00E502B3">
            <w:pPr>
              <w:jc w:val="left"/>
              <w:rPr>
                <w:sz w:val="18"/>
                <w:szCs w:val="18"/>
              </w:rPr>
            </w:pPr>
            <w:r>
              <w:rPr>
                <w:sz w:val="18"/>
                <w:szCs w:val="18"/>
              </w:rPr>
              <w:t>D</w:t>
            </w:r>
            <w:r w:rsidR="00C14774">
              <w:rPr>
                <w:sz w:val="18"/>
                <w:szCs w:val="18"/>
              </w:rPr>
              <w:t>ziałalność Transgranicznego Centrum Obsługi Eksportera i Inwestora</w:t>
            </w:r>
            <w:r w:rsidR="00A8055C">
              <w:rPr>
                <w:sz w:val="18"/>
                <w:szCs w:val="18"/>
              </w:rPr>
              <w:t>/Biura obsługi Inwestora</w:t>
            </w:r>
          </w:p>
        </w:tc>
        <w:tc>
          <w:tcPr>
            <w:tcW w:w="2248" w:type="dxa"/>
          </w:tcPr>
          <w:p w:rsidR="00C14774" w:rsidRPr="002B47D5" w:rsidRDefault="00C14774" w:rsidP="00E502B3">
            <w:pPr>
              <w:jc w:val="left"/>
              <w:rPr>
                <w:sz w:val="18"/>
                <w:szCs w:val="18"/>
              </w:rPr>
            </w:pPr>
            <w:r>
              <w:rPr>
                <w:sz w:val="18"/>
                <w:szCs w:val="18"/>
              </w:rPr>
              <w:t>UM, RFZ</w:t>
            </w:r>
          </w:p>
        </w:tc>
        <w:tc>
          <w:tcPr>
            <w:tcW w:w="1781" w:type="dxa"/>
          </w:tcPr>
          <w:p w:rsidR="00C14774" w:rsidRPr="002B47D5" w:rsidRDefault="00C14774" w:rsidP="00E502B3">
            <w:pPr>
              <w:jc w:val="left"/>
              <w:rPr>
                <w:sz w:val="18"/>
                <w:szCs w:val="18"/>
              </w:rPr>
            </w:pPr>
            <w:r>
              <w:rPr>
                <w:sz w:val="18"/>
                <w:szCs w:val="18"/>
              </w:rPr>
              <w:t>przedsiębiorcy lokalni</w:t>
            </w:r>
            <w:r w:rsidR="00195AC3">
              <w:rPr>
                <w:sz w:val="18"/>
                <w:szCs w:val="18"/>
              </w:rPr>
              <w:t>, inwestorzy</w:t>
            </w:r>
          </w:p>
        </w:tc>
        <w:tc>
          <w:tcPr>
            <w:tcW w:w="1403" w:type="dxa"/>
          </w:tcPr>
          <w:p w:rsidR="00C14774" w:rsidRDefault="00CC795D" w:rsidP="00E502B3">
            <w:pPr>
              <w:jc w:val="left"/>
              <w:rPr>
                <w:sz w:val="18"/>
                <w:szCs w:val="18"/>
              </w:rPr>
            </w:pPr>
            <w:r>
              <w:rPr>
                <w:sz w:val="18"/>
                <w:szCs w:val="18"/>
              </w:rPr>
              <w:t>50.000 zł</w:t>
            </w:r>
          </w:p>
        </w:tc>
        <w:tc>
          <w:tcPr>
            <w:tcW w:w="1749" w:type="dxa"/>
          </w:tcPr>
          <w:p w:rsidR="00C14774" w:rsidRPr="002B47D5" w:rsidRDefault="00C14774" w:rsidP="00E502B3">
            <w:pPr>
              <w:jc w:val="left"/>
              <w:rPr>
                <w:sz w:val="18"/>
                <w:szCs w:val="18"/>
              </w:rPr>
            </w:pPr>
            <w:r>
              <w:rPr>
                <w:sz w:val="18"/>
                <w:szCs w:val="18"/>
              </w:rPr>
              <w:t>Środki własne, fundusze unijne</w:t>
            </w:r>
          </w:p>
        </w:tc>
      </w:tr>
    </w:tbl>
    <w:p w:rsidR="00E27133" w:rsidRDefault="00E27133" w:rsidP="009E7CCE"/>
    <w:p w:rsidR="004144CC" w:rsidRDefault="00485E4E" w:rsidP="00FE3FC5">
      <w:pPr>
        <w:pStyle w:val="Nagwek1"/>
        <w:numPr>
          <w:ilvl w:val="0"/>
          <w:numId w:val="2"/>
        </w:numPr>
      </w:pPr>
      <w:bookmarkStart w:id="52" w:name="_Toc390759503"/>
      <w:r>
        <w:t>Zasady monitoringu oraz oceny programu</w:t>
      </w:r>
      <w:bookmarkEnd w:id="52"/>
      <w:r w:rsidR="004144CC">
        <w:t xml:space="preserve"> </w:t>
      </w:r>
    </w:p>
    <w:p w:rsidR="00C14774" w:rsidRPr="00C14774" w:rsidRDefault="00C14774" w:rsidP="00E43C26">
      <w:pPr>
        <w:spacing w:after="0" w:line="240" w:lineRule="auto"/>
        <w:jc w:val="both"/>
      </w:pPr>
      <w:r>
        <w:t>Władze Miasta, w celu realizacji zapisów programu powołają we współpracy z samorządem gospodarczym</w:t>
      </w:r>
      <w:r w:rsidR="00962F1F">
        <w:t>, Z</w:t>
      </w:r>
      <w:r w:rsidR="00E43C26">
        <w:t xml:space="preserve">espół ds. monitoringu i wdrażania </w:t>
      </w:r>
      <w:r w:rsidR="00962F1F">
        <w:t xml:space="preserve">działań wskazanych w programie. </w:t>
      </w:r>
      <w:r w:rsidR="00C26B82">
        <w:t>Prog</w:t>
      </w:r>
      <w:r w:rsidR="00CC795D">
        <w:t>ram będzie oceniany w cyklach 2 letnich</w:t>
      </w:r>
      <w:r w:rsidR="00C26B82">
        <w:t xml:space="preserve"> w formie sprawozdania przedkładanego </w:t>
      </w:r>
      <w:r w:rsidR="005D5ACD">
        <w:t xml:space="preserve">Prezydentowi Miasta Suwałk, </w:t>
      </w:r>
      <w:r w:rsidR="00CC795D">
        <w:t>Radzie Gospodarczej przy Prezydencie Miasta Suwałk</w:t>
      </w:r>
      <w:r w:rsidR="00A8055C">
        <w:t xml:space="preserve"> oraz Radzie Miejskiej</w:t>
      </w:r>
      <w:r w:rsidR="005D5ACD">
        <w:t xml:space="preserve"> w Suwałkach</w:t>
      </w:r>
      <w:r w:rsidR="00CC795D">
        <w:t>.</w:t>
      </w:r>
    </w:p>
    <w:sectPr w:rsidR="00C14774" w:rsidRPr="00C14774" w:rsidSect="002422B5">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48D" w:rsidRDefault="0007048D" w:rsidP="00773ECB">
      <w:pPr>
        <w:spacing w:after="0" w:line="240" w:lineRule="auto"/>
      </w:pPr>
      <w:r>
        <w:separator/>
      </w:r>
    </w:p>
  </w:endnote>
  <w:endnote w:type="continuationSeparator" w:id="0">
    <w:p w:rsidR="0007048D" w:rsidRDefault="0007048D" w:rsidP="00773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FranklinGothicMedium">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Bold">
    <w:altName w:val="Times New Roman"/>
    <w:panose1 w:val="00000000000000000000"/>
    <w:charset w:val="EE"/>
    <w:family w:val="auto"/>
    <w:notTrueType/>
    <w:pitch w:val="default"/>
    <w:sig w:usb0="00000005"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8954"/>
      <w:docPartObj>
        <w:docPartGallery w:val="Page Numbers (Bottom of Page)"/>
        <w:docPartUnique/>
      </w:docPartObj>
    </w:sdtPr>
    <w:sdtContent>
      <w:p w:rsidR="00187394" w:rsidRDefault="00187394">
        <w:pPr>
          <w:pStyle w:val="Stopka"/>
          <w:jc w:val="right"/>
        </w:pPr>
        <w:fldSimple w:instr=" PAGE   \* MERGEFORMAT ">
          <w:r w:rsidR="00E502B3">
            <w:rPr>
              <w:noProof/>
            </w:rPr>
            <w:t>37</w:t>
          </w:r>
        </w:fldSimple>
      </w:p>
    </w:sdtContent>
  </w:sdt>
  <w:p w:rsidR="00187394" w:rsidRDefault="001873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48D" w:rsidRDefault="0007048D" w:rsidP="00773ECB">
      <w:pPr>
        <w:spacing w:after="0" w:line="240" w:lineRule="auto"/>
      </w:pPr>
      <w:r>
        <w:separator/>
      </w:r>
    </w:p>
  </w:footnote>
  <w:footnote w:type="continuationSeparator" w:id="0">
    <w:p w:rsidR="0007048D" w:rsidRDefault="0007048D" w:rsidP="00773ECB">
      <w:pPr>
        <w:spacing w:after="0" w:line="240" w:lineRule="auto"/>
      </w:pPr>
      <w:r>
        <w:continuationSeparator/>
      </w:r>
    </w:p>
  </w:footnote>
  <w:footnote w:id="1">
    <w:p w:rsidR="00187394" w:rsidRDefault="00187394">
      <w:pPr>
        <w:pStyle w:val="Tekstprzypisudolnego"/>
      </w:pPr>
      <w:r>
        <w:rPr>
          <w:rStyle w:val="Odwoanieprzypisudolnego"/>
        </w:rPr>
        <w:footnoteRef/>
      </w:r>
      <w:r>
        <w:t xml:space="preserve"> Komunikat Komisji „Europa 2020. Strategia na rzecz inteligentnego i zrównoważonego rozwoju sprzyjającemu włączeniu społecznemu”. Bruksela, 03.03.2010, KOM(2010) 2020 wersja ostateczna.</w:t>
      </w:r>
    </w:p>
  </w:footnote>
  <w:footnote w:id="2">
    <w:p w:rsidR="00187394" w:rsidRDefault="00187394" w:rsidP="006D00C6">
      <w:pPr>
        <w:pStyle w:val="Tekstprzypisudolnego"/>
        <w:jc w:val="both"/>
      </w:pPr>
      <w:r>
        <w:rPr>
          <w:rStyle w:val="Odwoanieprzypisudolnego"/>
        </w:rPr>
        <w:footnoteRef/>
      </w:r>
      <w:r>
        <w:t xml:space="preserve"> Na podstawie informacji zebranych przez Wydział Rozwoju i Funduszy Zewnętrznych w 06.2014 r. od SSSE oraz </w:t>
      </w:r>
      <w:r w:rsidRPr="006D00C6">
        <w:rPr>
          <w:b/>
        </w:rPr>
        <w:t>wybranych</w:t>
      </w:r>
      <w:r>
        <w:t xml:space="preserve"> największych firm działających w tych sektorach poza SSSE, w branży spożywczej na terenie miasta były zatrudnione </w:t>
      </w:r>
      <w:r w:rsidRPr="0007439F">
        <w:rPr>
          <w:b/>
        </w:rPr>
        <w:t>2064 os</w:t>
      </w:r>
      <w:r>
        <w:rPr>
          <w:b/>
        </w:rPr>
        <w:t>o</w:t>
      </w:r>
      <w:r w:rsidRPr="0007439F">
        <w:rPr>
          <w:b/>
        </w:rPr>
        <w:t>b</w:t>
      </w:r>
      <w:r>
        <w:rPr>
          <w:b/>
        </w:rPr>
        <w:t>y</w:t>
      </w:r>
      <w:r>
        <w:t xml:space="preserve"> a w przetwórstwie drewna oraz produkcji mebli </w:t>
      </w:r>
      <w:r w:rsidRPr="0007439F">
        <w:rPr>
          <w:b/>
        </w:rPr>
        <w:t>2033 os</w:t>
      </w:r>
      <w:r>
        <w:rPr>
          <w:b/>
        </w:rPr>
        <w:t>o</w:t>
      </w:r>
      <w:r w:rsidRPr="0007439F">
        <w:rPr>
          <w:b/>
        </w:rPr>
        <w:t>b</w:t>
      </w:r>
      <w:r>
        <w:rPr>
          <w:b/>
        </w:rPr>
        <w:t>y</w:t>
      </w:r>
      <w:r>
        <w:t>.</w:t>
      </w:r>
    </w:p>
  </w:footnote>
  <w:footnote w:id="3">
    <w:p w:rsidR="00187394" w:rsidRDefault="00187394" w:rsidP="00F73870">
      <w:pPr>
        <w:pStyle w:val="Tekstprzypisudolnego"/>
        <w:jc w:val="both"/>
      </w:pPr>
      <w:r>
        <w:rPr>
          <w:rStyle w:val="Odwoanieprzypisudolnego"/>
        </w:rPr>
        <w:footnoteRef/>
      </w:r>
      <w:r>
        <w:t xml:space="preserve"> Źródło: Główny Urząd Statystyczny, przy czym dane dotyczą tylko podmiotów gospodarczych zatrudniających powyżej 9 osób, ponieważ statystyki prowadzone przez Główny Urząd Statystyczny nie obejmują zatrudnienia w podmiotach gospodarczych zatrudniających poniżej 9 osób. Należy jednak zauważyć, że w Suwałkach zdecydowana większość podmiotów gospodarczych (ok. 77%) to osoby fizyczne prowadzące działalność gospodarczą (stan na 31.12.2013 r.). </w:t>
      </w:r>
    </w:p>
  </w:footnote>
  <w:footnote w:id="4">
    <w:p w:rsidR="00187394" w:rsidRDefault="00187394" w:rsidP="007D5825">
      <w:pPr>
        <w:pStyle w:val="Tekstprzypisudolnego"/>
        <w:jc w:val="both"/>
      </w:pPr>
      <w:r>
        <w:rPr>
          <w:rStyle w:val="Odwoanieprzypisudolnego"/>
        </w:rPr>
        <w:footnoteRef/>
      </w:r>
      <w:r>
        <w:t xml:space="preserve"> Dane statystyczne dotyczące wynagrodzeń i zatrudnienia na koniec 2013 r. będą dostępne w Głównym Urzędzie Statystycznym dopiero w lipcu 2014 r.</w:t>
      </w:r>
    </w:p>
  </w:footnote>
  <w:footnote w:id="5">
    <w:p w:rsidR="00187394" w:rsidRDefault="00187394" w:rsidP="00847211">
      <w:pPr>
        <w:pStyle w:val="Tekstprzypisudolnego"/>
        <w:jc w:val="both"/>
      </w:pPr>
      <w:r>
        <w:rPr>
          <w:rStyle w:val="Odwoanieprzypisudolnego"/>
        </w:rPr>
        <w:footnoteRef/>
      </w:r>
      <w:r>
        <w:t xml:space="preserve"> Schemat klasyfikacji </w:t>
      </w:r>
      <w:proofErr w:type="spellStart"/>
      <w:r>
        <w:t>wg</w:t>
      </w:r>
      <w:proofErr w:type="spellEnd"/>
      <w:r>
        <w:t xml:space="preserve">. GUS: A – Rolnictwo, leśnictwo, łowiectwo i rybactwo, B – Górnictwo i wydobywanie, C – Przetwórstwo przemysłowe, D – Wytwarzanie i zaopatrywanie w energię elektryczną, gaz, parę wodną, gorącą wodę i powietrze do układów klimatyzacyjnych, E – Dostawa wody; Gospodarowanie ściekami i odpadami oraz działalność związana z rekultywacją, F – Budownictwo, G – Handel hurtowy i detaliczny; Naprawa pojazdów samochodowych, włączając motocykle, H – Transport i gospodarka magazynowa, I – Działalność związana z zakwaterowaniem i usługami gastronomicznymi, J – Informacja i komunikacja, K – Działalność finansowa i ubezpieczeniowa, L – Działalność związana z obsługą rynku nieruchomości, M – Działalność profesjonalna, naukowa i techniczna, N – Działalność z zakresu usług administrowania i działalność wspierająca, O – Administracja publiczna i obrona narodowa; Obowiązkowe zabezpieczenia społeczne, P – Edukacja, Q – Opieka zdrowotna i pomoc społeczna, S – Pozostała działalność usługowa, T – Gospodarstwa domowe zatrudniające pracowników; Gospodarstwa domowe produkujące wyroby i świadczące usługi na własne potrzeby (stan na 31.12.2013 r.). </w:t>
      </w:r>
    </w:p>
  </w:footnote>
  <w:footnote w:id="6">
    <w:p w:rsidR="00187394" w:rsidRDefault="00187394">
      <w:pPr>
        <w:pStyle w:val="Tekstprzypisudolnego"/>
      </w:pPr>
      <w:r>
        <w:rPr>
          <w:rStyle w:val="Odwoanieprzypisudolnego"/>
        </w:rPr>
        <w:footnoteRef/>
      </w:r>
      <w:r>
        <w:t xml:space="preserve"> W nawiasach podano liczbę przedsiębiorców.</w:t>
      </w:r>
    </w:p>
  </w:footnote>
  <w:footnote w:id="7">
    <w:p w:rsidR="00187394" w:rsidRDefault="00187394" w:rsidP="006E5CA6">
      <w:pPr>
        <w:pStyle w:val="Tekstprzypisudolnego"/>
        <w:jc w:val="both"/>
      </w:pPr>
      <w:r>
        <w:rPr>
          <w:rStyle w:val="Odwoanieprzypisudolnego"/>
        </w:rPr>
        <w:footnoteRef/>
      </w:r>
      <w:r>
        <w:t xml:space="preserve"> Dane statystyczne dotyczące wynagrodzeń i zatrudnienia na koniec 2013 r. będą dostępne w Głównym Urzędzie Statystycznym dopiero w lipcu 2014 r. </w:t>
      </w:r>
    </w:p>
  </w:footnote>
  <w:footnote w:id="8">
    <w:p w:rsidR="00187394" w:rsidRDefault="00187394">
      <w:pPr>
        <w:pStyle w:val="Tekstprzypisudolnego"/>
      </w:pPr>
      <w:r>
        <w:rPr>
          <w:rStyle w:val="Odwoanieprzypisudolnego"/>
        </w:rPr>
        <w:footnoteRef/>
      </w:r>
      <w:r>
        <w:t xml:space="preserve"> </w:t>
      </w:r>
      <w:r w:rsidRPr="00EE5BB1">
        <w:t>Należy zauważyć, że w Ostrołęce przeciętne miesięczne wynagrodzenie brutto jest wyższe od przeciętnego miesię</w:t>
      </w:r>
      <w:r>
        <w:t>cznego wynagrodzenia w Polsce. Jednakże wpływ na tą wielkość może mieć działalność na terenie miasta dużego pracodawcy jakim jest ENERGA Elektrownie Ostrołęka S.A.</w:t>
      </w:r>
    </w:p>
  </w:footnote>
  <w:footnote w:id="9">
    <w:p w:rsidR="00187394" w:rsidRDefault="00187394">
      <w:pPr>
        <w:pStyle w:val="Tekstprzypisudolnego"/>
      </w:pPr>
      <w:r>
        <w:rPr>
          <w:rStyle w:val="Odwoanieprzypisudolnego"/>
        </w:rPr>
        <w:footnoteRef/>
      </w:r>
      <w:r>
        <w:t xml:space="preserve"> Dane na koniec 2013 r.</w:t>
      </w:r>
    </w:p>
  </w:footnote>
  <w:footnote w:id="10">
    <w:p w:rsidR="00187394" w:rsidRDefault="00187394">
      <w:pPr>
        <w:pStyle w:val="Tekstprzypisudolnego"/>
      </w:pPr>
      <w:r>
        <w:rPr>
          <w:rStyle w:val="Odwoanieprzypisudolnego"/>
        </w:rPr>
        <w:footnoteRef/>
      </w:r>
      <w:r>
        <w:t xml:space="preserve"> W maju 2014 r. na końcowym etapie procedury zatwierdzania znajdowały się 4 kolejne </w:t>
      </w:r>
      <w:proofErr w:type="spellStart"/>
      <w:r>
        <w:t>mpzp</w:t>
      </w:r>
      <w:proofErr w:type="spellEnd"/>
      <w:r>
        <w:t>.</w:t>
      </w:r>
    </w:p>
  </w:footnote>
  <w:footnote w:id="11">
    <w:p w:rsidR="00187394" w:rsidRDefault="00187394" w:rsidP="00D6735A">
      <w:pPr>
        <w:pStyle w:val="Tekstprzypisudolnego"/>
        <w:jc w:val="both"/>
      </w:pPr>
      <w:r>
        <w:rPr>
          <w:rStyle w:val="Odwoanieprzypisudolnego"/>
        </w:rPr>
        <w:footnoteRef/>
      </w:r>
      <w:r>
        <w:t xml:space="preserve"> Kwota ta obejmuje wyłącznie opłaty z tytułu użytkowania wieczystego od przedsiębiorców. Całkowita wartość opłat z tytułu użytkowania wieczystego nieruchomości na gruntach Miasta Suwałki z sektora mieszkaniowego oraz przedsiębiorców w 2014 r. wyniesie 1.593.018,04 zł.</w:t>
      </w:r>
    </w:p>
  </w:footnote>
  <w:footnote w:id="12">
    <w:p w:rsidR="00187394" w:rsidRPr="001007FC" w:rsidRDefault="00187394" w:rsidP="00D87671">
      <w:pPr>
        <w:pStyle w:val="Tekstprzypisudolnego"/>
        <w:jc w:val="both"/>
      </w:pPr>
      <w:r>
        <w:rPr>
          <w:rStyle w:val="Odwoanieprzypisudolnego"/>
        </w:rPr>
        <w:footnoteRef/>
      </w:r>
      <w:r>
        <w:t>Na podstawie badania</w:t>
      </w:r>
      <w:r w:rsidRPr="001007FC">
        <w:t xml:space="preserve"> poświęcone</w:t>
      </w:r>
      <w:r>
        <w:t>go</w:t>
      </w:r>
      <w:r w:rsidRPr="001007FC">
        <w:t xml:space="preserve"> ekonomicznemu wymiarowi sektora kultury w Europie przeprowadzone</w:t>
      </w:r>
      <w:r>
        <w:t>go</w:t>
      </w:r>
      <w:r w:rsidRPr="001007FC">
        <w:t xml:space="preserve"> na zlecenie Dyrekcji Generalnej ds. Edukacji i Kultury KE w r. </w:t>
      </w:r>
      <w:r>
        <w:t>wprowadzono</w:t>
      </w:r>
      <w:r w:rsidRPr="001007FC">
        <w:t xml:space="preserve"> podział na: </w:t>
      </w:r>
      <w:r w:rsidRPr="0066558F">
        <w:t>sektor kultury</w:t>
      </w:r>
      <w:r w:rsidRPr="001007FC">
        <w:t xml:space="preserve"> (tradycyjne dziedziny sztuki i kultury, któr</w:t>
      </w:r>
      <w:r>
        <w:t>e nie są wykorzystywane w celach biznesowych</w:t>
      </w:r>
      <w:r w:rsidRPr="001007FC">
        <w:t xml:space="preserve">) i </w:t>
      </w:r>
      <w:r w:rsidRPr="0066558F">
        <w:t>sektor kreatywny</w:t>
      </w:r>
      <w:r w:rsidRPr="001007FC">
        <w:t xml:space="preserve"> (przemysły i działania, które używają kultury </w:t>
      </w:r>
      <w:r>
        <w:t>do wytwarzania</w:t>
      </w:r>
      <w:r w:rsidRPr="001007FC">
        <w:t xml:space="preserve"> produktów</w:t>
      </w:r>
      <w:r>
        <w:t xml:space="preserve"> także biznesowych</w:t>
      </w:r>
      <w:r w:rsidRPr="001007FC">
        <w:t>).</w:t>
      </w:r>
    </w:p>
  </w:footnote>
  <w:footnote w:id="13">
    <w:p w:rsidR="00187394" w:rsidRPr="00706B7F" w:rsidRDefault="00187394" w:rsidP="004D31D4">
      <w:pPr>
        <w:spacing w:after="0" w:line="240" w:lineRule="auto"/>
        <w:jc w:val="both"/>
        <w:rPr>
          <w:sz w:val="20"/>
          <w:szCs w:val="20"/>
        </w:rPr>
      </w:pPr>
      <w:r w:rsidRPr="00D87671">
        <w:rPr>
          <w:rStyle w:val="Odwoanieprzypisudolnego"/>
          <w:sz w:val="18"/>
          <w:szCs w:val="18"/>
        </w:rPr>
        <w:footnoteRef/>
      </w:r>
      <w:r w:rsidRPr="00D87671">
        <w:rPr>
          <w:sz w:val="18"/>
          <w:szCs w:val="18"/>
        </w:rPr>
        <w:t xml:space="preserve"> </w:t>
      </w:r>
      <w:r w:rsidRPr="00706B7F">
        <w:rPr>
          <w:sz w:val="20"/>
          <w:szCs w:val="20"/>
        </w:rPr>
        <w:t>Zauważalne są inicjatywy mające na celu zrzeszanie przedstawicie</w:t>
      </w:r>
      <w:r w:rsidR="00E502B3">
        <w:rPr>
          <w:sz w:val="20"/>
          <w:szCs w:val="20"/>
        </w:rPr>
        <w:t>li branży kreatywnej w Polsce, n</w:t>
      </w:r>
      <w:r w:rsidRPr="00706B7F">
        <w:rPr>
          <w:sz w:val="20"/>
          <w:szCs w:val="20"/>
        </w:rPr>
        <w:t xml:space="preserve">p. szczecińskie firmy zajmujące się reklamą, multimediami, grafiką, filmem i Internetem w czerwcu 2012 roku w ramach Północnej Izby Gospodarczej stworzyły klaster reklamowy. W 2013 r. w Gliwicach </w:t>
      </w:r>
      <w:r>
        <w:rPr>
          <w:sz w:val="20"/>
          <w:szCs w:val="20"/>
        </w:rPr>
        <w:t>powstał Klaster</w:t>
      </w:r>
      <w:r w:rsidRPr="00706B7F">
        <w:rPr>
          <w:sz w:val="20"/>
          <w:szCs w:val="20"/>
        </w:rPr>
        <w:t xml:space="preserve"> Przemysłów Kreatywn</w:t>
      </w:r>
      <w:r>
        <w:rPr>
          <w:sz w:val="20"/>
          <w:szCs w:val="20"/>
        </w:rPr>
        <w:t>ych „</w:t>
      </w:r>
      <w:proofErr w:type="spellStart"/>
      <w:r>
        <w:rPr>
          <w:sz w:val="20"/>
          <w:szCs w:val="20"/>
        </w:rPr>
        <w:t>Made</w:t>
      </w:r>
      <w:proofErr w:type="spellEnd"/>
      <w:r>
        <w:rPr>
          <w:sz w:val="20"/>
          <w:szCs w:val="20"/>
        </w:rPr>
        <w:t xml:space="preserve"> </w:t>
      </w:r>
      <w:proofErr w:type="spellStart"/>
      <w:r>
        <w:rPr>
          <w:sz w:val="20"/>
          <w:szCs w:val="20"/>
        </w:rPr>
        <w:t>in</w:t>
      </w:r>
      <w:proofErr w:type="spellEnd"/>
      <w:r>
        <w:rPr>
          <w:sz w:val="20"/>
          <w:szCs w:val="20"/>
        </w:rPr>
        <w:t xml:space="preserve"> Śląsk”, do którego </w:t>
      </w:r>
      <w:r w:rsidRPr="00706B7F">
        <w:rPr>
          <w:sz w:val="20"/>
          <w:szCs w:val="20"/>
        </w:rPr>
        <w:t>zgłosiło się ponad 20 firm z Gliwic i okolic zajmujących się projektowaniem graficznym i użytkowym</w:t>
      </w:r>
      <w:r>
        <w:rPr>
          <w:sz w:val="20"/>
          <w:szCs w:val="20"/>
        </w:rPr>
        <w:t>,</w:t>
      </w:r>
      <w:r w:rsidRPr="00706B7F">
        <w:rPr>
          <w:sz w:val="20"/>
          <w:szCs w:val="20"/>
        </w:rPr>
        <w:t xml:space="preserve"> produkcją wideo, dźwięku i wydarzeń, architekturą, mediami. </w:t>
      </w:r>
      <w:proofErr w:type="spellStart"/>
      <w:r w:rsidRPr="00706B7F">
        <w:rPr>
          <w:sz w:val="20"/>
          <w:szCs w:val="20"/>
        </w:rPr>
        <w:t>Klastry</w:t>
      </w:r>
      <w:proofErr w:type="spellEnd"/>
      <w:r w:rsidRPr="00706B7F">
        <w:rPr>
          <w:sz w:val="20"/>
          <w:szCs w:val="20"/>
        </w:rPr>
        <w:t xml:space="preserve"> przemysłów kreatywnych działają ponadto w takich ośrodkach jak: Cieszyn („Śląski Klaster </w:t>
      </w:r>
      <w:proofErr w:type="spellStart"/>
      <w:r w:rsidRPr="00706B7F">
        <w:rPr>
          <w:sz w:val="20"/>
          <w:szCs w:val="20"/>
        </w:rPr>
        <w:t>Dizajnu</w:t>
      </w:r>
      <w:proofErr w:type="spellEnd"/>
      <w:r w:rsidRPr="00706B7F">
        <w:rPr>
          <w:sz w:val="20"/>
          <w:szCs w:val="20"/>
        </w:rPr>
        <w:t xml:space="preserve">”), Bielsko-Biała (Klaster Kreatywny "Lokomotywa Kultury"), Elbląg (Klaster Biznesu Kultury </w:t>
      </w:r>
      <w:proofErr w:type="spellStart"/>
      <w:r w:rsidRPr="00706B7F">
        <w:rPr>
          <w:sz w:val="20"/>
          <w:szCs w:val="20"/>
        </w:rPr>
        <w:t>BizArt</w:t>
      </w:r>
      <w:proofErr w:type="spellEnd"/>
      <w:r w:rsidRPr="00706B7F">
        <w:rPr>
          <w:sz w:val="20"/>
          <w:szCs w:val="20"/>
        </w:rPr>
        <w:t xml:space="preserve">), Wrocław (Klaster </w:t>
      </w:r>
      <w:proofErr w:type="spellStart"/>
      <w:r w:rsidRPr="00706B7F">
        <w:rPr>
          <w:sz w:val="20"/>
          <w:szCs w:val="20"/>
        </w:rPr>
        <w:t>Creativro</w:t>
      </w:r>
      <w:proofErr w:type="spellEnd"/>
      <w:r w:rsidRPr="00706B7F">
        <w:rPr>
          <w:sz w:val="20"/>
          <w:szCs w:val="20"/>
        </w:rPr>
        <w:t xml:space="preserve">), Kraków (Digital Entertainment </w:t>
      </w:r>
      <w:proofErr w:type="spellStart"/>
      <w:r w:rsidRPr="00706B7F">
        <w:rPr>
          <w:sz w:val="20"/>
          <w:szCs w:val="20"/>
        </w:rPr>
        <w:t>Cluster</w:t>
      </w:r>
      <w:proofErr w:type="spellEnd"/>
      <w:r w:rsidRPr="00706B7F">
        <w:rPr>
          <w:sz w:val="20"/>
          <w:szCs w:val="20"/>
        </w:rPr>
        <w:t xml:space="preserve">, Klaster Przemysłów Kultury i Czasu Wolnego INRET, Krakowska Strefa </w:t>
      </w:r>
      <w:proofErr w:type="spellStart"/>
      <w:r w:rsidRPr="00706B7F">
        <w:rPr>
          <w:sz w:val="20"/>
          <w:szCs w:val="20"/>
        </w:rPr>
        <w:t>Dizajnu</w:t>
      </w:r>
      <w:proofErr w:type="spellEnd"/>
      <w:r w:rsidRPr="00706B7F">
        <w:rPr>
          <w:sz w:val="20"/>
          <w:szCs w:val="20"/>
        </w:rPr>
        <w:t xml:space="preserve">), Nowy Sącz (Klaster Multimediów i Systemów Informacyjnych </w:t>
      </w:r>
      <w:proofErr w:type="spellStart"/>
      <w:r w:rsidRPr="00706B7F">
        <w:rPr>
          <w:sz w:val="20"/>
          <w:szCs w:val="20"/>
        </w:rPr>
        <w:t>MultiKlaster</w:t>
      </w:r>
      <w:proofErr w:type="spellEnd"/>
      <w:r w:rsidRPr="00706B7F">
        <w:rPr>
          <w:sz w:val="20"/>
          <w:szCs w:val="20"/>
        </w:rPr>
        <w:t>), Warszawa (</w:t>
      </w:r>
      <w:proofErr w:type="spellStart"/>
      <w:r w:rsidRPr="00706B7F">
        <w:rPr>
          <w:sz w:val="20"/>
          <w:szCs w:val="20"/>
        </w:rPr>
        <w:t>Creative</w:t>
      </w:r>
      <w:proofErr w:type="spellEnd"/>
      <w:r w:rsidRPr="00706B7F">
        <w:rPr>
          <w:sz w:val="20"/>
          <w:szCs w:val="20"/>
        </w:rPr>
        <w:t xml:space="preserve"> </w:t>
      </w:r>
      <w:proofErr w:type="spellStart"/>
      <w:r w:rsidRPr="00706B7F">
        <w:rPr>
          <w:sz w:val="20"/>
          <w:szCs w:val="20"/>
        </w:rPr>
        <w:t>Communication</w:t>
      </w:r>
      <w:proofErr w:type="spellEnd"/>
      <w:r w:rsidRPr="00706B7F">
        <w:rPr>
          <w:sz w:val="20"/>
          <w:szCs w:val="20"/>
        </w:rPr>
        <w:t xml:space="preserve"> </w:t>
      </w:r>
      <w:proofErr w:type="spellStart"/>
      <w:r w:rsidRPr="00706B7F">
        <w:rPr>
          <w:sz w:val="20"/>
          <w:szCs w:val="20"/>
        </w:rPr>
        <w:t>Cluster</w:t>
      </w:r>
      <w:proofErr w:type="spellEnd"/>
      <w:r w:rsidRPr="00706B7F">
        <w:rPr>
          <w:sz w:val="20"/>
          <w:szCs w:val="20"/>
        </w:rPr>
        <w:t xml:space="preserve">), Kielce (Klaster </w:t>
      </w:r>
      <w:proofErr w:type="spellStart"/>
      <w:r w:rsidRPr="00706B7F">
        <w:rPr>
          <w:sz w:val="20"/>
          <w:szCs w:val="20"/>
        </w:rPr>
        <w:t>LabDesign</w:t>
      </w:r>
      <w:proofErr w:type="spellEnd"/>
      <w:r w:rsidRPr="00706B7F">
        <w:rPr>
          <w:sz w:val="20"/>
          <w:szCs w:val="20"/>
        </w:rPr>
        <w:t>), Łódź (Media Klaster).</w:t>
      </w:r>
    </w:p>
    <w:p w:rsidR="00187394" w:rsidRDefault="00187394" w:rsidP="00AF2087">
      <w:pPr>
        <w:pStyle w:val="Tekstprzypisudolnego"/>
        <w:jc w:val="both"/>
      </w:pPr>
    </w:p>
  </w:footnote>
  <w:footnote w:id="14">
    <w:p w:rsidR="00187394" w:rsidRDefault="00187394" w:rsidP="004858B5">
      <w:pPr>
        <w:pStyle w:val="Tekstprzypisudolnego"/>
        <w:jc w:val="both"/>
      </w:pPr>
      <w:r>
        <w:rPr>
          <w:rStyle w:val="Odwoanieprzypisudolnego"/>
        </w:rPr>
        <w:footnoteRef/>
      </w:r>
      <w:r>
        <w:t xml:space="preserve"> Woj. podlaskie– 4 parki, warmińsko-mazurskie – 2, mazowieckie – 1, lubelskie – 4, podkarpackie – 3, świętokrzyskie – 1, małopolskie – 5, pomorskie – 3, kujawsko-pomorskie – 7, łódzkie – 4, śląskie – 15, zachodniopomorskie – 6, wielkopolskie – 6, opolskie – 2, dolnośląskie – 4, lubuskie – 1 (za stroną: </w:t>
      </w:r>
      <w:hyperlink r:id="rId1" w:history="1">
        <w:r w:rsidRPr="00784C4A">
          <w:rPr>
            <w:rStyle w:val="Hipercze"/>
          </w:rPr>
          <w:t>http://www.paiz.gov.pl/strefa_inwestora/parki_przemyslowe_i_technologiczne#</w:t>
        </w:r>
      </w:hyperlink>
      <w:r>
        <w:t>).</w:t>
      </w:r>
    </w:p>
  </w:footnote>
  <w:footnote w:id="15">
    <w:p w:rsidR="00187394" w:rsidRDefault="00187394" w:rsidP="00AB5E37">
      <w:pPr>
        <w:pStyle w:val="Tekstprzypisudolnego"/>
        <w:jc w:val="both"/>
      </w:pPr>
      <w:r>
        <w:rPr>
          <w:rStyle w:val="Odwoanieprzypisudolnego"/>
        </w:rPr>
        <w:footnoteRef/>
      </w:r>
      <w:r>
        <w:t xml:space="preserve"> Za: „Analiza Stanu i Kierunków Rozwoju Parków Naukowo Technologicznych, Inkubatorów Technologicznych i Centrów Transferu Technologii w Polsce”, Instytut Badań nad Gospodarką Rynkową na zlecenie PARP, Warszawa 2005 r.</w:t>
      </w:r>
    </w:p>
  </w:footnote>
  <w:footnote w:id="16">
    <w:p w:rsidR="00187394" w:rsidRDefault="00187394" w:rsidP="00AB5E37">
      <w:pPr>
        <w:pStyle w:val="Tekstprzypisudolnego"/>
      </w:pPr>
      <w:r>
        <w:rPr>
          <w:rStyle w:val="Odwoanieprzypisudolnego"/>
        </w:rPr>
        <w:footnoteRef/>
      </w:r>
      <w:r>
        <w:t xml:space="preserve"> Za: </w:t>
      </w:r>
      <w:proofErr w:type="spellStart"/>
      <w:r>
        <w:t>j.w</w:t>
      </w:r>
      <w:proofErr w:type="spellEnd"/>
      <w:r>
        <w:t>.</w:t>
      </w:r>
    </w:p>
  </w:footnote>
  <w:footnote w:id="17">
    <w:p w:rsidR="00187394" w:rsidRDefault="00187394">
      <w:pPr>
        <w:pStyle w:val="Tekstprzypisudolnego"/>
      </w:pPr>
      <w:r>
        <w:rPr>
          <w:rStyle w:val="Odwoanieprzypisudolnego"/>
        </w:rPr>
        <w:footnoteRef/>
      </w:r>
      <w:r>
        <w:t xml:space="preserve"> Szacunkowy koszt udziału w dwóch imprezach targowych rocznie na terenie Polski.</w:t>
      </w:r>
    </w:p>
  </w:footnote>
  <w:footnote w:id="18">
    <w:p w:rsidR="00187394" w:rsidRDefault="00187394" w:rsidP="00602724">
      <w:pPr>
        <w:pStyle w:val="Tekstprzypisudolnego"/>
      </w:pPr>
      <w:r>
        <w:rPr>
          <w:rStyle w:val="Odwoanieprzypisudolnego"/>
        </w:rPr>
        <w:footnoteRef/>
      </w:r>
      <w:r>
        <w:t xml:space="preserve"> </w:t>
      </w:r>
      <w:r>
        <w:rPr>
          <w:rFonts w:cs="Calibri-Bold"/>
          <w:bCs/>
        </w:rPr>
        <w:t>„Strategia Rozwoju Kapitału Ludzkiego do roku 2020” (Ministerstwo Pracy i Polityki Społecznej, Warszawa, czerwiec 2013 r.), s. 43.</w:t>
      </w:r>
    </w:p>
  </w:footnote>
  <w:footnote w:id="19">
    <w:p w:rsidR="00187394" w:rsidRDefault="00187394" w:rsidP="00FA1328">
      <w:pPr>
        <w:pStyle w:val="Tekstprzypisudolnego"/>
        <w:jc w:val="both"/>
      </w:pPr>
      <w:r>
        <w:rPr>
          <w:rStyle w:val="Odwoanieprzypisudolnego"/>
        </w:rPr>
        <w:footnoteRef/>
      </w:r>
      <w:r>
        <w:t xml:space="preserve"> </w:t>
      </w:r>
      <w:r w:rsidRPr="00A3646B">
        <w:t>Ankieta została rozesłana do grupy 100 przedsiębiorców. Uzyskano 30 wypełnionych ankiet.</w:t>
      </w:r>
      <w:r>
        <w:t xml:space="preserve"> Badanie prowadzono w okresie listopad 2013 r. – styczeń 2014 r. </w:t>
      </w:r>
    </w:p>
  </w:footnote>
  <w:footnote w:id="20">
    <w:p w:rsidR="00187394" w:rsidRDefault="00187394">
      <w:pPr>
        <w:pStyle w:val="Tekstprzypisudolnego"/>
      </w:pPr>
      <w:r>
        <w:rPr>
          <w:rStyle w:val="Odwoanieprzypisudolnego"/>
        </w:rPr>
        <w:footnoteRef/>
      </w:r>
      <w:r>
        <w:t xml:space="preserve"> „Kwalifikacje dla potrzeb pracodawców. Raport końcowy”, Warszawa, czerwiec 2010 r., PKPP Lewiatan i PARP.</w:t>
      </w:r>
    </w:p>
  </w:footnote>
  <w:footnote w:id="21">
    <w:p w:rsidR="00187394" w:rsidRDefault="00187394">
      <w:pPr>
        <w:pStyle w:val="Tekstprzypisudolnego"/>
      </w:pPr>
      <w:r>
        <w:rPr>
          <w:rStyle w:val="Odwoanieprzypisudolnego"/>
        </w:rPr>
        <w:footnoteRef/>
      </w:r>
      <w:r>
        <w:t xml:space="preserve"> Sektorami kluczowymi są: przemysł drzewny i meblarski, rolno-spożywczy oraz usługi turystyczne.</w:t>
      </w:r>
    </w:p>
  </w:footnote>
  <w:footnote w:id="22">
    <w:p w:rsidR="00187394" w:rsidRDefault="00187394">
      <w:pPr>
        <w:pStyle w:val="Tekstprzypisudolnego"/>
      </w:pPr>
      <w:r>
        <w:rPr>
          <w:rStyle w:val="Odwoanieprzypisudolnego"/>
        </w:rPr>
        <w:footnoteRef/>
      </w:r>
      <w:r>
        <w:t xml:space="preserve"> Sektor MICE: </w:t>
      </w:r>
      <w:proofErr w:type="spellStart"/>
      <w:r w:rsidRPr="00FC3909">
        <w:t>meeting</w:t>
      </w:r>
      <w:proofErr w:type="spellEnd"/>
      <w:r>
        <w:t xml:space="preserve"> – </w:t>
      </w:r>
      <w:proofErr w:type="spellStart"/>
      <w:r w:rsidRPr="00FC3909">
        <w:t>incentive</w:t>
      </w:r>
      <w:proofErr w:type="spellEnd"/>
      <w:r>
        <w:t xml:space="preserve"> – </w:t>
      </w:r>
      <w:proofErr w:type="spellStart"/>
      <w:r w:rsidRPr="00FC3909">
        <w:t>conferences</w:t>
      </w:r>
      <w:proofErr w:type="spellEnd"/>
      <w:r>
        <w:t xml:space="preserve"> </w:t>
      </w:r>
      <w:r w:rsidRPr="00FC3909">
        <w:t>-</w:t>
      </w:r>
      <w:r>
        <w:t xml:space="preserve"> </w:t>
      </w:r>
      <w:proofErr w:type="spellStart"/>
      <w:r w:rsidRPr="00FC3909">
        <w:t>event</w:t>
      </w:r>
      <w:proofErr w:type="spellEnd"/>
      <w:r>
        <w:t xml:space="preserve"> (</w:t>
      </w:r>
      <w:r w:rsidRPr="00FC3909">
        <w:t>spotkania – imprezy motywacyjne – konferencje – wystawy)</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78B"/>
    <w:multiLevelType w:val="hybridMultilevel"/>
    <w:tmpl w:val="897E1A8C"/>
    <w:lvl w:ilvl="0" w:tplc="3C7E02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111A71"/>
    <w:multiLevelType w:val="hybridMultilevel"/>
    <w:tmpl w:val="146E1464"/>
    <w:lvl w:ilvl="0" w:tplc="406AA4C2">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A227758"/>
    <w:multiLevelType w:val="hybridMultilevel"/>
    <w:tmpl w:val="698CA946"/>
    <w:lvl w:ilvl="0" w:tplc="406AA4C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A20E76"/>
    <w:multiLevelType w:val="hybridMultilevel"/>
    <w:tmpl w:val="38381FCE"/>
    <w:lvl w:ilvl="0" w:tplc="406AA4C2">
      <w:start w:val="1"/>
      <w:numFmt w:val="bullet"/>
      <w:lvlText w:val="-"/>
      <w:lvlJc w:val="left"/>
      <w:pPr>
        <w:ind w:left="1485" w:hanging="360"/>
      </w:pPr>
      <w:rPr>
        <w:rFonts w:ascii="Calibri" w:hAnsi="Calibri"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
    <w:nsid w:val="0DE00B4E"/>
    <w:multiLevelType w:val="hybridMultilevel"/>
    <w:tmpl w:val="B4522AF8"/>
    <w:lvl w:ilvl="0" w:tplc="406AA4C2">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0943061"/>
    <w:multiLevelType w:val="hybridMultilevel"/>
    <w:tmpl w:val="0870EE5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nsid w:val="1C314414"/>
    <w:multiLevelType w:val="hybridMultilevel"/>
    <w:tmpl w:val="6FFEDE3E"/>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nsid w:val="1EC77374"/>
    <w:multiLevelType w:val="hybridMultilevel"/>
    <w:tmpl w:val="E8361DEE"/>
    <w:lvl w:ilvl="0" w:tplc="406AA4C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3A3734"/>
    <w:multiLevelType w:val="multilevel"/>
    <w:tmpl w:val="29367D8C"/>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06502E4"/>
    <w:multiLevelType w:val="hybridMultilevel"/>
    <w:tmpl w:val="06B46FFC"/>
    <w:lvl w:ilvl="0" w:tplc="406AA4C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DF1416"/>
    <w:multiLevelType w:val="hybridMultilevel"/>
    <w:tmpl w:val="ABB0E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6573AC"/>
    <w:multiLevelType w:val="hybridMultilevel"/>
    <w:tmpl w:val="3D96F2C2"/>
    <w:lvl w:ilvl="0" w:tplc="406AA4C2">
      <w:start w:val="1"/>
      <w:numFmt w:val="bullet"/>
      <w:lvlText w:val="-"/>
      <w:lvlJc w:val="left"/>
      <w:pPr>
        <w:ind w:left="1485" w:hanging="360"/>
      </w:pPr>
      <w:rPr>
        <w:rFonts w:ascii="Calibri" w:hAnsi="Calibri"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nsid w:val="251B271B"/>
    <w:multiLevelType w:val="multilevel"/>
    <w:tmpl w:val="EDFC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932A66"/>
    <w:multiLevelType w:val="hybridMultilevel"/>
    <w:tmpl w:val="890889E4"/>
    <w:lvl w:ilvl="0" w:tplc="406AA4C2">
      <w:start w:val="1"/>
      <w:numFmt w:val="bullet"/>
      <w:lvlText w:val="-"/>
      <w:lvlJc w:val="left"/>
      <w:pPr>
        <w:ind w:left="750" w:hanging="360"/>
      </w:pPr>
      <w:rPr>
        <w:rFonts w:ascii="Calibri" w:hAnsi="Calibri"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nsid w:val="30E8752D"/>
    <w:multiLevelType w:val="multilevel"/>
    <w:tmpl w:val="372ABE86"/>
    <w:lvl w:ilvl="0">
      <w:start w:val="2"/>
      <w:numFmt w:val="decimal"/>
      <w:lvlText w:val="%1."/>
      <w:lvlJc w:val="left"/>
      <w:pPr>
        <w:ind w:left="420" w:hanging="420"/>
      </w:pPr>
      <w:rPr>
        <w:rFonts w:hint="default"/>
      </w:rPr>
    </w:lvl>
    <w:lvl w:ilvl="1">
      <w:start w:val="4"/>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940" w:hanging="144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5">
    <w:nsid w:val="39617DEF"/>
    <w:multiLevelType w:val="hybridMultilevel"/>
    <w:tmpl w:val="039829C6"/>
    <w:lvl w:ilvl="0" w:tplc="3C7E02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BE922C9"/>
    <w:multiLevelType w:val="hybridMultilevel"/>
    <w:tmpl w:val="4704DF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EC12F2"/>
    <w:multiLevelType w:val="hybridMultilevel"/>
    <w:tmpl w:val="6CE2B5D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3F031A0D"/>
    <w:multiLevelType w:val="hybridMultilevel"/>
    <w:tmpl w:val="423C485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4749030A"/>
    <w:multiLevelType w:val="hybridMultilevel"/>
    <w:tmpl w:val="94A89268"/>
    <w:lvl w:ilvl="0" w:tplc="3C7E025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936DAB"/>
    <w:multiLevelType w:val="multilevel"/>
    <w:tmpl w:val="154A22DC"/>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98569B"/>
    <w:multiLevelType w:val="hybridMultilevel"/>
    <w:tmpl w:val="0870EE5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nsid w:val="4C116AE6"/>
    <w:multiLevelType w:val="hybridMultilevel"/>
    <w:tmpl w:val="E0662370"/>
    <w:lvl w:ilvl="0" w:tplc="406AA4C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C57B7D"/>
    <w:multiLevelType w:val="hybridMultilevel"/>
    <w:tmpl w:val="9762F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D15A58"/>
    <w:multiLevelType w:val="hybridMultilevel"/>
    <w:tmpl w:val="34E0D208"/>
    <w:lvl w:ilvl="0" w:tplc="406AA4C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7ED7356"/>
    <w:multiLevelType w:val="multilevel"/>
    <w:tmpl w:val="FFECC8BA"/>
    <w:lvl w:ilvl="0">
      <w:start w:val="2"/>
      <w:numFmt w:val="decimal"/>
      <w:lvlText w:val="%1"/>
      <w:lvlJc w:val="left"/>
      <w:pPr>
        <w:ind w:left="360" w:hanging="360"/>
      </w:pPr>
      <w:rPr>
        <w:rFonts w:hint="default"/>
      </w:rPr>
    </w:lvl>
    <w:lvl w:ilvl="1">
      <w:start w:val="4"/>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26">
    <w:nsid w:val="59D50238"/>
    <w:multiLevelType w:val="hybridMultilevel"/>
    <w:tmpl w:val="7D4668BE"/>
    <w:lvl w:ilvl="0" w:tplc="3C7E02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B8E2693"/>
    <w:multiLevelType w:val="hybridMultilevel"/>
    <w:tmpl w:val="0D7E2124"/>
    <w:lvl w:ilvl="0" w:tplc="3C7E02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BF50BB9"/>
    <w:multiLevelType w:val="hybridMultilevel"/>
    <w:tmpl w:val="D2DCDD2A"/>
    <w:lvl w:ilvl="0" w:tplc="406AA4C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F2F63CD"/>
    <w:multiLevelType w:val="hybridMultilevel"/>
    <w:tmpl w:val="1DD6FA88"/>
    <w:lvl w:ilvl="0" w:tplc="3C7E0254">
      <w:start w:val="1"/>
      <w:numFmt w:val="bullet"/>
      <w:lvlText w:val=""/>
      <w:lvlJc w:val="left"/>
      <w:pPr>
        <w:ind w:left="765" w:hanging="360"/>
      </w:pPr>
      <w:rPr>
        <w:rFonts w:ascii="Symbol" w:hAnsi="Symbol" w:hint="default"/>
      </w:rPr>
    </w:lvl>
    <w:lvl w:ilvl="1" w:tplc="F1F4A106">
      <w:start w:val="1"/>
      <w:numFmt w:val="decimal"/>
      <w:lvlText w:val="%2."/>
      <w:lvlJc w:val="left"/>
      <w:pPr>
        <w:ind w:left="1845" w:hanging="72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nsid w:val="5F98236E"/>
    <w:multiLevelType w:val="hybridMultilevel"/>
    <w:tmpl w:val="FCDAF714"/>
    <w:lvl w:ilvl="0" w:tplc="71D0D046">
      <w:start w:val="5"/>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nsid w:val="61CD3B83"/>
    <w:multiLevelType w:val="hybridMultilevel"/>
    <w:tmpl w:val="BD1C7A44"/>
    <w:lvl w:ilvl="0" w:tplc="406AA4C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8FA1F22"/>
    <w:multiLevelType w:val="hybridMultilevel"/>
    <w:tmpl w:val="450E86E6"/>
    <w:lvl w:ilvl="0" w:tplc="406AA4C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C6812BC"/>
    <w:multiLevelType w:val="hybridMultilevel"/>
    <w:tmpl w:val="CFE28B6C"/>
    <w:lvl w:ilvl="0" w:tplc="3C7E02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7247CF7"/>
    <w:multiLevelType w:val="hybridMultilevel"/>
    <w:tmpl w:val="D5F83810"/>
    <w:lvl w:ilvl="0" w:tplc="406AA4C2">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7D6C677A"/>
    <w:multiLevelType w:val="hybridMultilevel"/>
    <w:tmpl w:val="141E2664"/>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30"/>
  </w:num>
  <w:num w:numId="3">
    <w:abstractNumId w:val="7"/>
  </w:num>
  <w:num w:numId="4">
    <w:abstractNumId w:val="31"/>
  </w:num>
  <w:num w:numId="5">
    <w:abstractNumId w:val="22"/>
  </w:num>
  <w:num w:numId="6">
    <w:abstractNumId w:val="27"/>
  </w:num>
  <w:num w:numId="7">
    <w:abstractNumId w:val="6"/>
  </w:num>
  <w:num w:numId="8">
    <w:abstractNumId w:val="29"/>
  </w:num>
  <w:num w:numId="9">
    <w:abstractNumId w:val="23"/>
  </w:num>
  <w:num w:numId="10">
    <w:abstractNumId w:val="10"/>
  </w:num>
  <w:num w:numId="11">
    <w:abstractNumId w:val="12"/>
  </w:num>
  <w:num w:numId="12">
    <w:abstractNumId w:val="15"/>
  </w:num>
  <w:num w:numId="13">
    <w:abstractNumId w:val="33"/>
  </w:num>
  <w:num w:numId="14">
    <w:abstractNumId w:val="26"/>
  </w:num>
  <w:num w:numId="15">
    <w:abstractNumId w:val="19"/>
  </w:num>
  <w:num w:numId="16">
    <w:abstractNumId w:val="21"/>
  </w:num>
  <w:num w:numId="17">
    <w:abstractNumId w:val="1"/>
  </w:num>
  <w:num w:numId="18">
    <w:abstractNumId w:val="34"/>
  </w:num>
  <w:num w:numId="19">
    <w:abstractNumId w:val="4"/>
  </w:num>
  <w:num w:numId="20">
    <w:abstractNumId w:val="13"/>
  </w:num>
  <w:num w:numId="21">
    <w:abstractNumId w:val="35"/>
  </w:num>
  <w:num w:numId="22">
    <w:abstractNumId w:val="18"/>
  </w:num>
  <w:num w:numId="23">
    <w:abstractNumId w:val="3"/>
  </w:num>
  <w:num w:numId="24">
    <w:abstractNumId w:val="17"/>
  </w:num>
  <w:num w:numId="25">
    <w:abstractNumId w:val="11"/>
  </w:num>
  <w:num w:numId="26">
    <w:abstractNumId w:val="25"/>
  </w:num>
  <w:num w:numId="27">
    <w:abstractNumId w:val="14"/>
  </w:num>
  <w:num w:numId="28">
    <w:abstractNumId w:val="20"/>
  </w:num>
  <w:num w:numId="29">
    <w:abstractNumId w:val="8"/>
  </w:num>
  <w:num w:numId="30">
    <w:abstractNumId w:val="28"/>
  </w:num>
  <w:num w:numId="31">
    <w:abstractNumId w:val="32"/>
  </w:num>
  <w:num w:numId="32">
    <w:abstractNumId w:val="16"/>
  </w:num>
  <w:num w:numId="33">
    <w:abstractNumId w:val="24"/>
  </w:num>
  <w:num w:numId="34">
    <w:abstractNumId w:val="9"/>
  </w:num>
  <w:num w:numId="35">
    <w:abstractNumId w:val="2"/>
  </w:num>
  <w:num w:numId="36">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422B5"/>
    <w:rsid w:val="00000E14"/>
    <w:rsid w:val="000110B3"/>
    <w:rsid w:val="0001149A"/>
    <w:rsid w:val="000177AD"/>
    <w:rsid w:val="000205C9"/>
    <w:rsid w:val="00021598"/>
    <w:rsid w:val="00023098"/>
    <w:rsid w:val="00024610"/>
    <w:rsid w:val="00026FC3"/>
    <w:rsid w:val="000334FC"/>
    <w:rsid w:val="00033D09"/>
    <w:rsid w:val="00040BE7"/>
    <w:rsid w:val="00052687"/>
    <w:rsid w:val="00062E30"/>
    <w:rsid w:val="0007048D"/>
    <w:rsid w:val="0007182C"/>
    <w:rsid w:val="000729BA"/>
    <w:rsid w:val="0007439F"/>
    <w:rsid w:val="000754CB"/>
    <w:rsid w:val="00075E21"/>
    <w:rsid w:val="000776DB"/>
    <w:rsid w:val="000821D4"/>
    <w:rsid w:val="00083AF0"/>
    <w:rsid w:val="00085798"/>
    <w:rsid w:val="00087FDF"/>
    <w:rsid w:val="000955EE"/>
    <w:rsid w:val="000A22CB"/>
    <w:rsid w:val="000A346E"/>
    <w:rsid w:val="000A55AF"/>
    <w:rsid w:val="000A5C45"/>
    <w:rsid w:val="000A7E33"/>
    <w:rsid w:val="000B1E27"/>
    <w:rsid w:val="000B32F8"/>
    <w:rsid w:val="000B57F8"/>
    <w:rsid w:val="000B7048"/>
    <w:rsid w:val="000C64E3"/>
    <w:rsid w:val="000C77B6"/>
    <w:rsid w:val="000D1813"/>
    <w:rsid w:val="000E2B82"/>
    <w:rsid w:val="000E3182"/>
    <w:rsid w:val="000E4A5B"/>
    <w:rsid w:val="000F46AF"/>
    <w:rsid w:val="000F51F4"/>
    <w:rsid w:val="000F522D"/>
    <w:rsid w:val="001007FC"/>
    <w:rsid w:val="00102CAD"/>
    <w:rsid w:val="00102ED0"/>
    <w:rsid w:val="0011117D"/>
    <w:rsid w:val="00111FA2"/>
    <w:rsid w:val="0011379C"/>
    <w:rsid w:val="00116246"/>
    <w:rsid w:val="00117630"/>
    <w:rsid w:val="00131002"/>
    <w:rsid w:val="001330E9"/>
    <w:rsid w:val="00143056"/>
    <w:rsid w:val="0014483F"/>
    <w:rsid w:val="0015149F"/>
    <w:rsid w:val="00152C09"/>
    <w:rsid w:val="00155B37"/>
    <w:rsid w:val="00162D11"/>
    <w:rsid w:val="00163EE1"/>
    <w:rsid w:val="00165A1B"/>
    <w:rsid w:val="00174F65"/>
    <w:rsid w:val="00182B91"/>
    <w:rsid w:val="00185EAA"/>
    <w:rsid w:val="00187394"/>
    <w:rsid w:val="00190539"/>
    <w:rsid w:val="001911AB"/>
    <w:rsid w:val="00193FC8"/>
    <w:rsid w:val="00195AC3"/>
    <w:rsid w:val="001A2391"/>
    <w:rsid w:val="001A3D26"/>
    <w:rsid w:val="001B342A"/>
    <w:rsid w:val="001B7916"/>
    <w:rsid w:val="001C5B8A"/>
    <w:rsid w:val="001C5C29"/>
    <w:rsid w:val="001D058D"/>
    <w:rsid w:val="001D0832"/>
    <w:rsid w:val="001D0EAE"/>
    <w:rsid w:val="001D4CA7"/>
    <w:rsid w:val="001E1418"/>
    <w:rsid w:val="001E380F"/>
    <w:rsid w:val="001E3E1C"/>
    <w:rsid w:val="001F26C6"/>
    <w:rsid w:val="001F3E4A"/>
    <w:rsid w:val="002001E1"/>
    <w:rsid w:val="00213A5F"/>
    <w:rsid w:val="002146B8"/>
    <w:rsid w:val="00220D9D"/>
    <w:rsid w:val="00226058"/>
    <w:rsid w:val="002266DB"/>
    <w:rsid w:val="00227E3C"/>
    <w:rsid w:val="0023013E"/>
    <w:rsid w:val="00232801"/>
    <w:rsid w:val="0023298F"/>
    <w:rsid w:val="00232E58"/>
    <w:rsid w:val="002332C7"/>
    <w:rsid w:val="0023344A"/>
    <w:rsid w:val="002422B5"/>
    <w:rsid w:val="002426F8"/>
    <w:rsid w:val="002513E9"/>
    <w:rsid w:val="00253687"/>
    <w:rsid w:val="00255643"/>
    <w:rsid w:val="00255F44"/>
    <w:rsid w:val="00256B80"/>
    <w:rsid w:val="00257237"/>
    <w:rsid w:val="002668B5"/>
    <w:rsid w:val="00272D44"/>
    <w:rsid w:val="002A408E"/>
    <w:rsid w:val="002A4851"/>
    <w:rsid w:val="002B340F"/>
    <w:rsid w:val="002B4566"/>
    <w:rsid w:val="002B47D5"/>
    <w:rsid w:val="002B4A2E"/>
    <w:rsid w:val="002B7FC5"/>
    <w:rsid w:val="002C1F78"/>
    <w:rsid w:val="002C3AAE"/>
    <w:rsid w:val="002C7CE5"/>
    <w:rsid w:val="002C7DBA"/>
    <w:rsid w:val="002D2539"/>
    <w:rsid w:val="002D29B7"/>
    <w:rsid w:val="002D2C78"/>
    <w:rsid w:val="002D6754"/>
    <w:rsid w:val="002E2F7D"/>
    <w:rsid w:val="002E3215"/>
    <w:rsid w:val="002E3DB5"/>
    <w:rsid w:val="002F1D5B"/>
    <w:rsid w:val="00321E16"/>
    <w:rsid w:val="003329F8"/>
    <w:rsid w:val="00332EC0"/>
    <w:rsid w:val="003356A9"/>
    <w:rsid w:val="00341691"/>
    <w:rsid w:val="0034215D"/>
    <w:rsid w:val="00343795"/>
    <w:rsid w:val="003477F0"/>
    <w:rsid w:val="003569B6"/>
    <w:rsid w:val="003652B5"/>
    <w:rsid w:val="00370150"/>
    <w:rsid w:val="00371303"/>
    <w:rsid w:val="00371497"/>
    <w:rsid w:val="00380709"/>
    <w:rsid w:val="00381272"/>
    <w:rsid w:val="0038175F"/>
    <w:rsid w:val="0038239E"/>
    <w:rsid w:val="0038259F"/>
    <w:rsid w:val="003834BC"/>
    <w:rsid w:val="00387A82"/>
    <w:rsid w:val="0039093E"/>
    <w:rsid w:val="00392930"/>
    <w:rsid w:val="00393E57"/>
    <w:rsid w:val="00396F5A"/>
    <w:rsid w:val="0039708B"/>
    <w:rsid w:val="003A1086"/>
    <w:rsid w:val="003A657C"/>
    <w:rsid w:val="003B0386"/>
    <w:rsid w:val="003B3639"/>
    <w:rsid w:val="003B57D0"/>
    <w:rsid w:val="003D2A28"/>
    <w:rsid w:val="003D7349"/>
    <w:rsid w:val="003E0C10"/>
    <w:rsid w:val="003E20D8"/>
    <w:rsid w:val="003E34C7"/>
    <w:rsid w:val="003E4885"/>
    <w:rsid w:val="003E7C53"/>
    <w:rsid w:val="00402C57"/>
    <w:rsid w:val="00412481"/>
    <w:rsid w:val="004134E7"/>
    <w:rsid w:val="004144CC"/>
    <w:rsid w:val="004164C4"/>
    <w:rsid w:val="004253DA"/>
    <w:rsid w:val="00426F6A"/>
    <w:rsid w:val="00427A8C"/>
    <w:rsid w:val="0043757A"/>
    <w:rsid w:val="004401B5"/>
    <w:rsid w:val="004473AD"/>
    <w:rsid w:val="004518B1"/>
    <w:rsid w:val="00454636"/>
    <w:rsid w:val="004566D7"/>
    <w:rsid w:val="00465359"/>
    <w:rsid w:val="00475E69"/>
    <w:rsid w:val="0048285A"/>
    <w:rsid w:val="00482F8E"/>
    <w:rsid w:val="004858B5"/>
    <w:rsid w:val="00485E4E"/>
    <w:rsid w:val="00490387"/>
    <w:rsid w:val="0049616E"/>
    <w:rsid w:val="0049652D"/>
    <w:rsid w:val="00497F8A"/>
    <w:rsid w:val="004A564B"/>
    <w:rsid w:val="004B44EA"/>
    <w:rsid w:val="004B558C"/>
    <w:rsid w:val="004C1C50"/>
    <w:rsid w:val="004C4728"/>
    <w:rsid w:val="004D1147"/>
    <w:rsid w:val="004D31D4"/>
    <w:rsid w:val="004D70A4"/>
    <w:rsid w:val="004D7ED0"/>
    <w:rsid w:val="004E179C"/>
    <w:rsid w:val="004F6714"/>
    <w:rsid w:val="004F75A0"/>
    <w:rsid w:val="005012BB"/>
    <w:rsid w:val="005014B5"/>
    <w:rsid w:val="0050288C"/>
    <w:rsid w:val="0050554E"/>
    <w:rsid w:val="00505925"/>
    <w:rsid w:val="00511D3A"/>
    <w:rsid w:val="005152A0"/>
    <w:rsid w:val="00521E98"/>
    <w:rsid w:val="00522E2D"/>
    <w:rsid w:val="00523F3E"/>
    <w:rsid w:val="00526691"/>
    <w:rsid w:val="00527C95"/>
    <w:rsid w:val="005321C7"/>
    <w:rsid w:val="00537018"/>
    <w:rsid w:val="00545167"/>
    <w:rsid w:val="005451A8"/>
    <w:rsid w:val="00545621"/>
    <w:rsid w:val="00550972"/>
    <w:rsid w:val="00562E7D"/>
    <w:rsid w:val="00566ABE"/>
    <w:rsid w:val="0056728C"/>
    <w:rsid w:val="00571468"/>
    <w:rsid w:val="00572850"/>
    <w:rsid w:val="00577588"/>
    <w:rsid w:val="00583DF8"/>
    <w:rsid w:val="00584ECF"/>
    <w:rsid w:val="005857BE"/>
    <w:rsid w:val="00592242"/>
    <w:rsid w:val="00592DDC"/>
    <w:rsid w:val="005A393D"/>
    <w:rsid w:val="005A79AB"/>
    <w:rsid w:val="005B62F0"/>
    <w:rsid w:val="005C0698"/>
    <w:rsid w:val="005C2AA2"/>
    <w:rsid w:val="005C389B"/>
    <w:rsid w:val="005D208D"/>
    <w:rsid w:val="005D2E39"/>
    <w:rsid w:val="005D38DF"/>
    <w:rsid w:val="005D5ACD"/>
    <w:rsid w:val="005E16D5"/>
    <w:rsid w:val="005E51F7"/>
    <w:rsid w:val="005F0ED9"/>
    <w:rsid w:val="00602724"/>
    <w:rsid w:val="00602CB7"/>
    <w:rsid w:val="00604352"/>
    <w:rsid w:val="006072CE"/>
    <w:rsid w:val="006073BC"/>
    <w:rsid w:val="00610F3C"/>
    <w:rsid w:val="0061296D"/>
    <w:rsid w:val="006134EC"/>
    <w:rsid w:val="0062516A"/>
    <w:rsid w:val="00633B62"/>
    <w:rsid w:val="00634864"/>
    <w:rsid w:val="00642341"/>
    <w:rsid w:val="00642348"/>
    <w:rsid w:val="0064247A"/>
    <w:rsid w:val="00642FD3"/>
    <w:rsid w:val="00647672"/>
    <w:rsid w:val="00647F85"/>
    <w:rsid w:val="00650416"/>
    <w:rsid w:val="00652A9F"/>
    <w:rsid w:val="00654193"/>
    <w:rsid w:val="00655D2C"/>
    <w:rsid w:val="00661640"/>
    <w:rsid w:val="00663B42"/>
    <w:rsid w:val="0066558F"/>
    <w:rsid w:val="006737FC"/>
    <w:rsid w:val="0067495C"/>
    <w:rsid w:val="006800F5"/>
    <w:rsid w:val="00685C1D"/>
    <w:rsid w:val="00695130"/>
    <w:rsid w:val="0069769A"/>
    <w:rsid w:val="006B2442"/>
    <w:rsid w:val="006C2ADA"/>
    <w:rsid w:val="006C4B9D"/>
    <w:rsid w:val="006C7903"/>
    <w:rsid w:val="006D00C6"/>
    <w:rsid w:val="006D41D5"/>
    <w:rsid w:val="006D5473"/>
    <w:rsid w:val="006E0E51"/>
    <w:rsid w:val="006E5CA6"/>
    <w:rsid w:val="006F3B8E"/>
    <w:rsid w:val="006F51E4"/>
    <w:rsid w:val="006F5713"/>
    <w:rsid w:val="006F58C8"/>
    <w:rsid w:val="006F5E9A"/>
    <w:rsid w:val="006F7AE1"/>
    <w:rsid w:val="007000BF"/>
    <w:rsid w:val="00703B17"/>
    <w:rsid w:val="00704D78"/>
    <w:rsid w:val="00706B7F"/>
    <w:rsid w:val="00711D44"/>
    <w:rsid w:val="007123BD"/>
    <w:rsid w:val="00715545"/>
    <w:rsid w:val="00715CE4"/>
    <w:rsid w:val="00716CE1"/>
    <w:rsid w:val="00717524"/>
    <w:rsid w:val="00717BAE"/>
    <w:rsid w:val="00717FD1"/>
    <w:rsid w:val="00726820"/>
    <w:rsid w:val="00727181"/>
    <w:rsid w:val="00727BC5"/>
    <w:rsid w:val="007427FE"/>
    <w:rsid w:val="00743531"/>
    <w:rsid w:val="00750042"/>
    <w:rsid w:val="00752A8C"/>
    <w:rsid w:val="007543C6"/>
    <w:rsid w:val="007553A9"/>
    <w:rsid w:val="00755EA7"/>
    <w:rsid w:val="007606B8"/>
    <w:rsid w:val="007671E3"/>
    <w:rsid w:val="00773ECB"/>
    <w:rsid w:val="00776548"/>
    <w:rsid w:val="007775F3"/>
    <w:rsid w:val="007809D5"/>
    <w:rsid w:val="00781F73"/>
    <w:rsid w:val="00786B8B"/>
    <w:rsid w:val="00786DA5"/>
    <w:rsid w:val="00790B71"/>
    <w:rsid w:val="007C5C37"/>
    <w:rsid w:val="007C7F16"/>
    <w:rsid w:val="007D0FBE"/>
    <w:rsid w:val="007D5825"/>
    <w:rsid w:val="007D75AD"/>
    <w:rsid w:val="007D7880"/>
    <w:rsid w:val="007E1736"/>
    <w:rsid w:val="007E74E2"/>
    <w:rsid w:val="007F2207"/>
    <w:rsid w:val="007F7421"/>
    <w:rsid w:val="00800F05"/>
    <w:rsid w:val="00802720"/>
    <w:rsid w:val="00803429"/>
    <w:rsid w:val="008038DA"/>
    <w:rsid w:val="00804930"/>
    <w:rsid w:val="00807204"/>
    <w:rsid w:val="00816117"/>
    <w:rsid w:val="00817792"/>
    <w:rsid w:val="00817FA1"/>
    <w:rsid w:val="00820D86"/>
    <w:rsid w:val="00821C30"/>
    <w:rsid w:val="00824DCA"/>
    <w:rsid w:val="00830011"/>
    <w:rsid w:val="0083307E"/>
    <w:rsid w:val="00834741"/>
    <w:rsid w:val="00842EA8"/>
    <w:rsid w:val="008462D8"/>
    <w:rsid w:val="00847129"/>
    <w:rsid w:val="00847211"/>
    <w:rsid w:val="00855A95"/>
    <w:rsid w:val="00861B75"/>
    <w:rsid w:val="00872163"/>
    <w:rsid w:val="00872BDC"/>
    <w:rsid w:val="008808F6"/>
    <w:rsid w:val="00893388"/>
    <w:rsid w:val="008A07BF"/>
    <w:rsid w:val="008A1FE3"/>
    <w:rsid w:val="008B0ED2"/>
    <w:rsid w:val="008B12A0"/>
    <w:rsid w:val="008B1BBA"/>
    <w:rsid w:val="008C5992"/>
    <w:rsid w:val="008D0B3D"/>
    <w:rsid w:val="008D20B2"/>
    <w:rsid w:val="008D2FE6"/>
    <w:rsid w:val="008D572C"/>
    <w:rsid w:val="008D649A"/>
    <w:rsid w:val="008D6BFB"/>
    <w:rsid w:val="008E2812"/>
    <w:rsid w:val="008E556E"/>
    <w:rsid w:val="008F3D11"/>
    <w:rsid w:val="008F751A"/>
    <w:rsid w:val="00901EAB"/>
    <w:rsid w:val="0090289D"/>
    <w:rsid w:val="00904393"/>
    <w:rsid w:val="00916693"/>
    <w:rsid w:val="00916F7C"/>
    <w:rsid w:val="00932558"/>
    <w:rsid w:val="00943A2F"/>
    <w:rsid w:val="00946BA2"/>
    <w:rsid w:val="009507DA"/>
    <w:rsid w:val="00952F2E"/>
    <w:rsid w:val="009570ED"/>
    <w:rsid w:val="00957175"/>
    <w:rsid w:val="00957993"/>
    <w:rsid w:val="00962F1F"/>
    <w:rsid w:val="009656ED"/>
    <w:rsid w:val="00972014"/>
    <w:rsid w:val="0097314E"/>
    <w:rsid w:val="009776F3"/>
    <w:rsid w:val="009805E4"/>
    <w:rsid w:val="0098212E"/>
    <w:rsid w:val="0098626C"/>
    <w:rsid w:val="00997D5E"/>
    <w:rsid w:val="009A2CC1"/>
    <w:rsid w:val="009A4A33"/>
    <w:rsid w:val="009A74A8"/>
    <w:rsid w:val="009C0191"/>
    <w:rsid w:val="009C1817"/>
    <w:rsid w:val="009C1F39"/>
    <w:rsid w:val="009C2D34"/>
    <w:rsid w:val="009C4564"/>
    <w:rsid w:val="009C5066"/>
    <w:rsid w:val="009D1335"/>
    <w:rsid w:val="009D4A5C"/>
    <w:rsid w:val="009D5C49"/>
    <w:rsid w:val="009E05A7"/>
    <w:rsid w:val="009E3BC6"/>
    <w:rsid w:val="009E7CCE"/>
    <w:rsid w:val="009F4FEC"/>
    <w:rsid w:val="009F750E"/>
    <w:rsid w:val="00A01FF8"/>
    <w:rsid w:val="00A177C0"/>
    <w:rsid w:val="00A221AB"/>
    <w:rsid w:val="00A22A10"/>
    <w:rsid w:val="00A24F57"/>
    <w:rsid w:val="00A26D6C"/>
    <w:rsid w:val="00A27FBB"/>
    <w:rsid w:val="00A3646B"/>
    <w:rsid w:val="00A4264F"/>
    <w:rsid w:val="00A43F71"/>
    <w:rsid w:val="00A4478F"/>
    <w:rsid w:val="00A53CE5"/>
    <w:rsid w:val="00A5512F"/>
    <w:rsid w:val="00A55FF5"/>
    <w:rsid w:val="00A563F2"/>
    <w:rsid w:val="00A60861"/>
    <w:rsid w:val="00A65DD6"/>
    <w:rsid w:val="00A67646"/>
    <w:rsid w:val="00A67D08"/>
    <w:rsid w:val="00A710E8"/>
    <w:rsid w:val="00A7457A"/>
    <w:rsid w:val="00A76B9D"/>
    <w:rsid w:val="00A8055C"/>
    <w:rsid w:val="00A81026"/>
    <w:rsid w:val="00A82667"/>
    <w:rsid w:val="00A94249"/>
    <w:rsid w:val="00A94F65"/>
    <w:rsid w:val="00A94FB6"/>
    <w:rsid w:val="00AA0C49"/>
    <w:rsid w:val="00AA358B"/>
    <w:rsid w:val="00AA426D"/>
    <w:rsid w:val="00AB41EB"/>
    <w:rsid w:val="00AB4850"/>
    <w:rsid w:val="00AB5E37"/>
    <w:rsid w:val="00AB676F"/>
    <w:rsid w:val="00AB6C4B"/>
    <w:rsid w:val="00AB7F9E"/>
    <w:rsid w:val="00AC09D4"/>
    <w:rsid w:val="00AC1C2F"/>
    <w:rsid w:val="00AC5ECA"/>
    <w:rsid w:val="00AC77E9"/>
    <w:rsid w:val="00AC7DD7"/>
    <w:rsid w:val="00AD1C41"/>
    <w:rsid w:val="00AD3AA0"/>
    <w:rsid w:val="00AD6802"/>
    <w:rsid w:val="00AD7DC9"/>
    <w:rsid w:val="00AD7DD4"/>
    <w:rsid w:val="00AE068A"/>
    <w:rsid w:val="00AE11F1"/>
    <w:rsid w:val="00AE1D80"/>
    <w:rsid w:val="00AE6C31"/>
    <w:rsid w:val="00AF14A5"/>
    <w:rsid w:val="00AF2087"/>
    <w:rsid w:val="00AF2E41"/>
    <w:rsid w:val="00AF4149"/>
    <w:rsid w:val="00B00088"/>
    <w:rsid w:val="00B042F8"/>
    <w:rsid w:val="00B07FCD"/>
    <w:rsid w:val="00B12567"/>
    <w:rsid w:val="00B179F2"/>
    <w:rsid w:val="00B407D9"/>
    <w:rsid w:val="00B41C36"/>
    <w:rsid w:val="00B434C9"/>
    <w:rsid w:val="00B46CF8"/>
    <w:rsid w:val="00B472C5"/>
    <w:rsid w:val="00B51AEB"/>
    <w:rsid w:val="00B52A5B"/>
    <w:rsid w:val="00B56E09"/>
    <w:rsid w:val="00B57A64"/>
    <w:rsid w:val="00B634F6"/>
    <w:rsid w:val="00B645DB"/>
    <w:rsid w:val="00B712A4"/>
    <w:rsid w:val="00B72AD0"/>
    <w:rsid w:val="00B82FB1"/>
    <w:rsid w:val="00B83C18"/>
    <w:rsid w:val="00B83C8F"/>
    <w:rsid w:val="00B84207"/>
    <w:rsid w:val="00B84A0A"/>
    <w:rsid w:val="00B95584"/>
    <w:rsid w:val="00B96136"/>
    <w:rsid w:val="00B97AF5"/>
    <w:rsid w:val="00BA2441"/>
    <w:rsid w:val="00BA58FD"/>
    <w:rsid w:val="00BB737E"/>
    <w:rsid w:val="00BC1C74"/>
    <w:rsid w:val="00BD5499"/>
    <w:rsid w:val="00BE1441"/>
    <w:rsid w:val="00BE2262"/>
    <w:rsid w:val="00BE2393"/>
    <w:rsid w:val="00BE5AC0"/>
    <w:rsid w:val="00BF5007"/>
    <w:rsid w:val="00C04924"/>
    <w:rsid w:val="00C064B4"/>
    <w:rsid w:val="00C07F22"/>
    <w:rsid w:val="00C1168B"/>
    <w:rsid w:val="00C14774"/>
    <w:rsid w:val="00C14C47"/>
    <w:rsid w:val="00C15174"/>
    <w:rsid w:val="00C20DB0"/>
    <w:rsid w:val="00C25A85"/>
    <w:rsid w:val="00C26B82"/>
    <w:rsid w:val="00C26C6C"/>
    <w:rsid w:val="00C30428"/>
    <w:rsid w:val="00C30544"/>
    <w:rsid w:val="00C31938"/>
    <w:rsid w:val="00C36C2B"/>
    <w:rsid w:val="00C40500"/>
    <w:rsid w:val="00C40B6F"/>
    <w:rsid w:val="00C43233"/>
    <w:rsid w:val="00C440C2"/>
    <w:rsid w:val="00C46655"/>
    <w:rsid w:val="00C47BAC"/>
    <w:rsid w:val="00C53F9A"/>
    <w:rsid w:val="00C54F4C"/>
    <w:rsid w:val="00C560F1"/>
    <w:rsid w:val="00C60192"/>
    <w:rsid w:val="00C628E6"/>
    <w:rsid w:val="00C73289"/>
    <w:rsid w:val="00C7447C"/>
    <w:rsid w:val="00C955D8"/>
    <w:rsid w:val="00C97C9F"/>
    <w:rsid w:val="00CA0AD7"/>
    <w:rsid w:val="00CA24A8"/>
    <w:rsid w:val="00CA736A"/>
    <w:rsid w:val="00CB386C"/>
    <w:rsid w:val="00CB47C4"/>
    <w:rsid w:val="00CB4845"/>
    <w:rsid w:val="00CC024E"/>
    <w:rsid w:val="00CC3FE7"/>
    <w:rsid w:val="00CC795D"/>
    <w:rsid w:val="00CD309F"/>
    <w:rsid w:val="00CD3A98"/>
    <w:rsid w:val="00CD3EC9"/>
    <w:rsid w:val="00CD4CC9"/>
    <w:rsid w:val="00CE280C"/>
    <w:rsid w:val="00CE4390"/>
    <w:rsid w:val="00CE5BC9"/>
    <w:rsid w:val="00CF01C2"/>
    <w:rsid w:val="00D0188C"/>
    <w:rsid w:val="00D01B9D"/>
    <w:rsid w:val="00D02D96"/>
    <w:rsid w:val="00D0591E"/>
    <w:rsid w:val="00D17E8C"/>
    <w:rsid w:val="00D2300A"/>
    <w:rsid w:val="00D238F9"/>
    <w:rsid w:val="00D3021C"/>
    <w:rsid w:val="00D331A6"/>
    <w:rsid w:val="00D3424D"/>
    <w:rsid w:val="00D34E14"/>
    <w:rsid w:val="00D46446"/>
    <w:rsid w:val="00D4651A"/>
    <w:rsid w:val="00D46B72"/>
    <w:rsid w:val="00D47366"/>
    <w:rsid w:val="00D52395"/>
    <w:rsid w:val="00D52E79"/>
    <w:rsid w:val="00D53DF7"/>
    <w:rsid w:val="00D6735A"/>
    <w:rsid w:val="00D67713"/>
    <w:rsid w:val="00D72644"/>
    <w:rsid w:val="00D74914"/>
    <w:rsid w:val="00D802BF"/>
    <w:rsid w:val="00D80BFF"/>
    <w:rsid w:val="00D81EC2"/>
    <w:rsid w:val="00D86C6D"/>
    <w:rsid w:val="00D86D1E"/>
    <w:rsid w:val="00D87671"/>
    <w:rsid w:val="00D9372A"/>
    <w:rsid w:val="00D96031"/>
    <w:rsid w:val="00D9695A"/>
    <w:rsid w:val="00DA186C"/>
    <w:rsid w:val="00DB346E"/>
    <w:rsid w:val="00DB5569"/>
    <w:rsid w:val="00DC2291"/>
    <w:rsid w:val="00DC2DB4"/>
    <w:rsid w:val="00DC57B7"/>
    <w:rsid w:val="00DD1D82"/>
    <w:rsid w:val="00DE382F"/>
    <w:rsid w:val="00DE65A6"/>
    <w:rsid w:val="00DF22B2"/>
    <w:rsid w:val="00DF3059"/>
    <w:rsid w:val="00DF3D91"/>
    <w:rsid w:val="00DF794F"/>
    <w:rsid w:val="00E02021"/>
    <w:rsid w:val="00E11E2C"/>
    <w:rsid w:val="00E140F4"/>
    <w:rsid w:val="00E21909"/>
    <w:rsid w:val="00E27133"/>
    <w:rsid w:val="00E2754B"/>
    <w:rsid w:val="00E302C7"/>
    <w:rsid w:val="00E35CD6"/>
    <w:rsid w:val="00E401FB"/>
    <w:rsid w:val="00E43C26"/>
    <w:rsid w:val="00E502B3"/>
    <w:rsid w:val="00E5226B"/>
    <w:rsid w:val="00E545CD"/>
    <w:rsid w:val="00E62043"/>
    <w:rsid w:val="00E66918"/>
    <w:rsid w:val="00E67C33"/>
    <w:rsid w:val="00E75360"/>
    <w:rsid w:val="00E851ED"/>
    <w:rsid w:val="00E87F5F"/>
    <w:rsid w:val="00E905FC"/>
    <w:rsid w:val="00E94888"/>
    <w:rsid w:val="00EA06B6"/>
    <w:rsid w:val="00EA6E65"/>
    <w:rsid w:val="00EB0BF2"/>
    <w:rsid w:val="00EB18B0"/>
    <w:rsid w:val="00EB4E9A"/>
    <w:rsid w:val="00EC2F5C"/>
    <w:rsid w:val="00EC549C"/>
    <w:rsid w:val="00ED3014"/>
    <w:rsid w:val="00ED5870"/>
    <w:rsid w:val="00EE2587"/>
    <w:rsid w:val="00EE5BB1"/>
    <w:rsid w:val="00EE7C55"/>
    <w:rsid w:val="00EF0FC4"/>
    <w:rsid w:val="00EF6894"/>
    <w:rsid w:val="00EF753B"/>
    <w:rsid w:val="00F02566"/>
    <w:rsid w:val="00F078DA"/>
    <w:rsid w:val="00F0794C"/>
    <w:rsid w:val="00F10AED"/>
    <w:rsid w:val="00F12923"/>
    <w:rsid w:val="00F12C61"/>
    <w:rsid w:val="00F176AB"/>
    <w:rsid w:val="00F24F66"/>
    <w:rsid w:val="00F26D4F"/>
    <w:rsid w:val="00F27538"/>
    <w:rsid w:val="00F32A0C"/>
    <w:rsid w:val="00F34900"/>
    <w:rsid w:val="00F34B58"/>
    <w:rsid w:val="00F34CF7"/>
    <w:rsid w:val="00F35AC3"/>
    <w:rsid w:val="00F416B8"/>
    <w:rsid w:val="00F42114"/>
    <w:rsid w:val="00F54EF2"/>
    <w:rsid w:val="00F576A0"/>
    <w:rsid w:val="00F62219"/>
    <w:rsid w:val="00F63279"/>
    <w:rsid w:val="00F6474A"/>
    <w:rsid w:val="00F66EF1"/>
    <w:rsid w:val="00F70E2B"/>
    <w:rsid w:val="00F73870"/>
    <w:rsid w:val="00F75590"/>
    <w:rsid w:val="00F7670E"/>
    <w:rsid w:val="00F77659"/>
    <w:rsid w:val="00F935CC"/>
    <w:rsid w:val="00FA1328"/>
    <w:rsid w:val="00FA1BAA"/>
    <w:rsid w:val="00FA399B"/>
    <w:rsid w:val="00FA798B"/>
    <w:rsid w:val="00FB353F"/>
    <w:rsid w:val="00FB481A"/>
    <w:rsid w:val="00FB631F"/>
    <w:rsid w:val="00FB66A8"/>
    <w:rsid w:val="00FC04A1"/>
    <w:rsid w:val="00FC10DE"/>
    <w:rsid w:val="00FC3909"/>
    <w:rsid w:val="00FC3E45"/>
    <w:rsid w:val="00FC5CEC"/>
    <w:rsid w:val="00FC6366"/>
    <w:rsid w:val="00FE3FC5"/>
    <w:rsid w:val="00FE59AD"/>
    <w:rsid w:val="00FE5F87"/>
    <w:rsid w:val="00FF30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2A5B"/>
  </w:style>
  <w:style w:type="paragraph" w:styleId="Nagwek1">
    <w:name w:val="heading 1"/>
    <w:basedOn w:val="Normalny"/>
    <w:next w:val="Normalny"/>
    <w:link w:val="Nagwek1Znak"/>
    <w:uiPriority w:val="9"/>
    <w:qFormat/>
    <w:rsid w:val="00242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144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144C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FC3E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2422B5"/>
    <w:pPr>
      <w:spacing w:after="0" w:line="240" w:lineRule="auto"/>
    </w:pPr>
    <w:rPr>
      <w:rFonts w:eastAsiaTheme="minorEastAsia"/>
    </w:rPr>
  </w:style>
  <w:style w:type="character" w:customStyle="1" w:styleId="BezodstpwZnak">
    <w:name w:val="Bez odstępów Znak"/>
    <w:basedOn w:val="Domylnaczcionkaakapitu"/>
    <w:link w:val="Bezodstpw"/>
    <w:uiPriority w:val="1"/>
    <w:rsid w:val="002422B5"/>
    <w:rPr>
      <w:rFonts w:eastAsiaTheme="minorEastAsia"/>
    </w:rPr>
  </w:style>
  <w:style w:type="paragraph" w:styleId="Tekstdymka">
    <w:name w:val="Balloon Text"/>
    <w:basedOn w:val="Normalny"/>
    <w:link w:val="TekstdymkaZnak"/>
    <w:uiPriority w:val="99"/>
    <w:semiHidden/>
    <w:unhideWhenUsed/>
    <w:rsid w:val="002422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22B5"/>
    <w:rPr>
      <w:rFonts w:ascii="Tahoma" w:hAnsi="Tahoma" w:cs="Tahoma"/>
      <w:sz w:val="16"/>
      <w:szCs w:val="16"/>
    </w:rPr>
  </w:style>
  <w:style w:type="character" w:customStyle="1" w:styleId="Nagwek1Znak">
    <w:name w:val="Nagłówek 1 Znak"/>
    <w:basedOn w:val="Domylnaczcionkaakapitu"/>
    <w:link w:val="Nagwek1"/>
    <w:uiPriority w:val="9"/>
    <w:rsid w:val="002422B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2422B5"/>
    <w:pPr>
      <w:outlineLvl w:val="9"/>
    </w:pPr>
  </w:style>
  <w:style w:type="paragraph" w:styleId="Spistreci1">
    <w:name w:val="toc 1"/>
    <w:basedOn w:val="Normalny"/>
    <w:next w:val="Normalny"/>
    <w:autoRedefine/>
    <w:uiPriority w:val="39"/>
    <w:unhideWhenUsed/>
    <w:rsid w:val="004144CC"/>
    <w:pPr>
      <w:spacing w:after="100"/>
    </w:pPr>
  </w:style>
  <w:style w:type="character" w:styleId="Hipercze">
    <w:name w:val="Hyperlink"/>
    <w:basedOn w:val="Domylnaczcionkaakapitu"/>
    <w:uiPriority w:val="99"/>
    <w:unhideWhenUsed/>
    <w:rsid w:val="004144CC"/>
    <w:rPr>
      <w:color w:val="0000FF" w:themeColor="hyperlink"/>
      <w:u w:val="single"/>
    </w:rPr>
  </w:style>
  <w:style w:type="character" w:customStyle="1" w:styleId="Nagwek2Znak">
    <w:name w:val="Nagłówek 2 Znak"/>
    <w:basedOn w:val="Domylnaczcionkaakapitu"/>
    <w:link w:val="Nagwek2"/>
    <w:uiPriority w:val="9"/>
    <w:rsid w:val="004144C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4144CC"/>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485E4E"/>
    <w:pPr>
      <w:spacing w:after="100"/>
      <w:ind w:left="220"/>
    </w:pPr>
  </w:style>
  <w:style w:type="paragraph" w:styleId="Spistreci3">
    <w:name w:val="toc 3"/>
    <w:basedOn w:val="Normalny"/>
    <w:next w:val="Normalny"/>
    <w:autoRedefine/>
    <w:uiPriority w:val="39"/>
    <w:unhideWhenUsed/>
    <w:rsid w:val="00485E4E"/>
    <w:pPr>
      <w:spacing w:after="100"/>
      <w:ind w:left="440"/>
    </w:pPr>
  </w:style>
  <w:style w:type="paragraph" w:styleId="Akapitzlist">
    <w:name w:val="List Paragraph"/>
    <w:basedOn w:val="Normalny"/>
    <w:link w:val="AkapitzlistZnak"/>
    <w:uiPriority w:val="34"/>
    <w:qFormat/>
    <w:rsid w:val="00182B91"/>
    <w:pPr>
      <w:ind w:left="720"/>
      <w:contextualSpacing/>
    </w:pPr>
  </w:style>
  <w:style w:type="table" w:styleId="Tabela-Siatka">
    <w:name w:val="Table Grid"/>
    <w:basedOn w:val="Standardowy"/>
    <w:uiPriority w:val="59"/>
    <w:rsid w:val="00CF01C2"/>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C26C6C"/>
    <w:rPr>
      <w:sz w:val="16"/>
      <w:szCs w:val="16"/>
    </w:rPr>
  </w:style>
  <w:style w:type="paragraph" w:styleId="Tekstkomentarza">
    <w:name w:val="annotation text"/>
    <w:basedOn w:val="Normalny"/>
    <w:link w:val="TekstkomentarzaZnak"/>
    <w:uiPriority w:val="99"/>
    <w:semiHidden/>
    <w:unhideWhenUsed/>
    <w:rsid w:val="00C26C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6C6C"/>
    <w:rPr>
      <w:sz w:val="20"/>
      <w:szCs w:val="20"/>
    </w:rPr>
  </w:style>
  <w:style w:type="paragraph" w:styleId="Tematkomentarza">
    <w:name w:val="annotation subject"/>
    <w:basedOn w:val="Tekstkomentarza"/>
    <w:next w:val="Tekstkomentarza"/>
    <w:link w:val="TematkomentarzaZnak"/>
    <w:uiPriority w:val="99"/>
    <w:semiHidden/>
    <w:unhideWhenUsed/>
    <w:rsid w:val="00C26C6C"/>
    <w:rPr>
      <w:b/>
      <w:bCs/>
    </w:rPr>
  </w:style>
  <w:style w:type="character" w:customStyle="1" w:styleId="TematkomentarzaZnak">
    <w:name w:val="Temat komentarza Znak"/>
    <w:basedOn w:val="TekstkomentarzaZnak"/>
    <w:link w:val="Tematkomentarza"/>
    <w:uiPriority w:val="99"/>
    <w:semiHidden/>
    <w:rsid w:val="00C26C6C"/>
    <w:rPr>
      <w:b/>
      <w:bCs/>
      <w:sz w:val="20"/>
      <w:szCs w:val="20"/>
    </w:rPr>
  </w:style>
  <w:style w:type="paragraph" w:styleId="NormalnyWeb">
    <w:name w:val="Normal (Web)"/>
    <w:basedOn w:val="Normalny"/>
    <w:uiPriority w:val="99"/>
    <w:semiHidden/>
    <w:unhideWhenUsed/>
    <w:rsid w:val="00B63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locked/>
    <w:rsid w:val="001911AB"/>
  </w:style>
  <w:style w:type="paragraph" w:styleId="Tekstprzypisudolnego">
    <w:name w:val="footnote text"/>
    <w:basedOn w:val="Normalny"/>
    <w:link w:val="TekstprzypisudolnegoZnak"/>
    <w:uiPriority w:val="99"/>
    <w:semiHidden/>
    <w:unhideWhenUsed/>
    <w:rsid w:val="00773E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3ECB"/>
    <w:rPr>
      <w:sz w:val="20"/>
      <w:szCs w:val="20"/>
    </w:rPr>
  </w:style>
  <w:style w:type="character" w:styleId="Odwoanieprzypisudolnego">
    <w:name w:val="footnote reference"/>
    <w:basedOn w:val="Domylnaczcionkaakapitu"/>
    <w:uiPriority w:val="99"/>
    <w:semiHidden/>
    <w:unhideWhenUsed/>
    <w:rsid w:val="00773ECB"/>
    <w:rPr>
      <w:vertAlign w:val="superscript"/>
    </w:rPr>
  </w:style>
  <w:style w:type="character" w:styleId="Uwydatnienie">
    <w:name w:val="Emphasis"/>
    <w:basedOn w:val="Domylnaczcionkaakapitu"/>
    <w:uiPriority w:val="20"/>
    <w:qFormat/>
    <w:rsid w:val="00026FC3"/>
    <w:rPr>
      <w:i/>
      <w:iCs/>
    </w:rPr>
  </w:style>
  <w:style w:type="character" w:styleId="Pogrubienie">
    <w:name w:val="Strong"/>
    <w:basedOn w:val="Domylnaczcionkaakapitu"/>
    <w:qFormat/>
    <w:rsid w:val="00026FC3"/>
    <w:rPr>
      <w:b/>
      <w:bCs/>
    </w:rPr>
  </w:style>
  <w:style w:type="character" w:customStyle="1" w:styleId="foots69941eadf82e37efde1ae8ad25486c2f773418151b456987462e8c775ff87fe5">
    <w:name w:val="foot_s_69941eadf82e37efde1ae8ad25486c2f773418151b456987462e8c775ff87fe5"/>
    <w:basedOn w:val="Domylnaczcionkaakapitu"/>
    <w:rsid w:val="00C04924"/>
  </w:style>
  <w:style w:type="character" w:customStyle="1" w:styleId="txtsrodtytul">
    <w:name w:val="txt_srodtytul"/>
    <w:basedOn w:val="Domylnaczcionkaakapitu"/>
    <w:rsid w:val="00C04924"/>
  </w:style>
  <w:style w:type="paragraph" w:styleId="Tekstprzypisukocowego">
    <w:name w:val="endnote text"/>
    <w:basedOn w:val="Normalny"/>
    <w:link w:val="TekstprzypisukocowegoZnak"/>
    <w:uiPriority w:val="99"/>
    <w:semiHidden/>
    <w:unhideWhenUsed/>
    <w:rsid w:val="000B1E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1E27"/>
    <w:rPr>
      <w:sz w:val="20"/>
      <w:szCs w:val="20"/>
    </w:rPr>
  </w:style>
  <w:style w:type="character" w:styleId="Odwoanieprzypisukocowego">
    <w:name w:val="endnote reference"/>
    <w:basedOn w:val="Domylnaczcionkaakapitu"/>
    <w:uiPriority w:val="99"/>
    <w:semiHidden/>
    <w:unhideWhenUsed/>
    <w:rsid w:val="000B1E27"/>
    <w:rPr>
      <w:vertAlign w:val="superscript"/>
    </w:rPr>
  </w:style>
  <w:style w:type="character" w:customStyle="1" w:styleId="Nagwek4Znak">
    <w:name w:val="Nagłówek 4 Znak"/>
    <w:basedOn w:val="Domylnaczcionkaakapitu"/>
    <w:link w:val="Nagwek4"/>
    <w:uiPriority w:val="9"/>
    <w:rsid w:val="00FC3E45"/>
    <w:rPr>
      <w:rFonts w:asciiTheme="majorHAnsi" w:eastAsiaTheme="majorEastAsia" w:hAnsiTheme="majorHAnsi" w:cstheme="majorBidi"/>
      <w:b/>
      <w:bCs/>
      <w:i/>
      <w:iCs/>
      <w:color w:val="4F81BD" w:themeColor="accent1"/>
    </w:rPr>
  </w:style>
  <w:style w:type="paragraph" w:styleId="Nagwek">
    <w:name w:val="header"/>
    <w:basedOn w:val="Normalny"/>
    <w:link w:val="NagwekZnak"/>
    <w:uiPriority w:val="99"/>
    <w:semiHidden/>
    <w:unhideWhenUsed/>
    <w:rsid w:val="005451A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451A8"/>
  </w:style>
  <w:style w:type="paragraph" w:styleId="Stopka">
    <w:name w:val="footer"/>
    <w:basedOn w:val="Normalny"/>
    <w:link w:val="StopkaZnak"/>
    <w:uiPriority w:val="99"/>
    <w:unhideWhenUsed/>
    <w:rsid w:val="005451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5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15289">
      <w:bodyDiv w:val="1"/>
      <w:marLeft w:val="0"/>
      <w:marRight w:val="0"/>
      <w:marTop w:val="0"/>
      <w:marBottom w:val="0"/>
      <w:divBdr>
        <w:top w:val="none" w:sz="0" w:space="0" w:color="auto"/>
        <w:left w:val="none" w:sz="0" w:space="0" w:color="auto"/>
        <w:bottom w:val="none" w:sz="0" w:space="0" w:color="auto"/>
        <w:right w:val="none" w:sz="0" w:space="0" w:color="auto"/>
      </w:divBdr>
      <w:divsChild>
        <w:div w:id="1431850867">
          <w:marLeft w:val="0"/>
          <w:marRight w:val="0"/>
          <w:marTop w:val="0"/>
          <w:marBottom w:val="0"/>
          <w:divBdr>
            <w:top w:val="none" w:sz="0" w:space="0" w:color="auto"/>
            <w:left w:val="none" w:sz="0" w:space="0" w:color="auto"/>
            <w:bottom w:val="none" w:sz="0" w:space="0" w:color="auto"/>
            <w:right w:val="none" w:sz="0" w:space="0" w:color="auto"/>
          </w:divBdr>
          <w:divsChild>
            <w:div w:id="463735200">
              <w:marLeft w:val="0"/>
              <w:marRight w:val="0"/>
              <w:marTop w:val="0"/>
              <w:marBottom w:val="0"/>
              <w:divBdr>
                <w:top w:val="none" w:sz="0" w:space="0" w:color="auto"/>
                <w:left w:val="none" w:sz="0" w:space="0" w:color="auto"/>
                <w:bottom w:val="none" w:sz="0" w:space="0" w:color="auto"/>
                <w:right w:val="none" w:sz="0" w:space="0" w:color="auto"/>
              </w:divBdr>
              <w:divsChild>
                <w:div w:id="1801263710">
                  <w:marLeft w:val="0"/>
                  <w:marRight w:val="0"/>
                  <w:marTop w:val="0"/>
                  <w:marBottom w:val="0"/>
                  <w:divBdr>
                    <w:top w:val="none" w:sz="0" w:space="0" w:color="auto"/>
                    <w:left w:val="none" w:sz="0" w:space="0" w:color="auto"/>
                    <w:bottom w:val="none" w:sz="0" w:space="0" w:color="auto"/>
                    <w:right w:val="none" w:sz="0" w:space="0" w:color="auto"/>
                  </w:divBdr>
                  <w:divsChild>
                    <w:div w:id="1868710479">
                      <w:marLeft w:val="-450"/>
                      <w:marRight w:val="-450"/>
                      <w:marTop w:val="0"/>
                      <w:marBottom w:val="0"/>
                      <w:divBdr>
                        <w:top w:val="none" w:sz="0" w:space="0" w:color="auto"/>
                        <w:left w:val="none" w:sz="0" w:space="0" w:color="auto"/>
                        <w:bottom w:val="none" w:sz="0" w:space="0" w:color="auto"/>
                        <w:right w:val="none" w:sz="0" w:space="0" w:color="auto"/>
                      </w:divBdr>
                      <w:divsChild>
                        <w:div w:id="636036398">
                          <w:marLeft w:val="0"/>
                          <w:marRight w:val="450"/>
                          <w:marTop w:val="0"/>
                          <w:marBottom w:val="0"/>
                          <w:divBdr>
                            <w:top w:val="none" w:sz="0" w:space="0" w:color="auto"/>
                            <w:left w:val="none" w:sz="0" w:space="0" w:color="auto"/>
                            <w:bottom w:val="none" w:sz="0" w:space="0" w:color="auto"/>
                            <w:right w:val="none" w:sz="0" w:space="0" w:color="auto"/>
                          </w:divBdr>
                          <w:divsChild>
                            <w:div w:id="1879779128">
                              <w:marLeft w:val="0"/>
                              <w:marRight w:val="0"/>
                              <w:marTop w:val="0"/>
                              <w:marBottom w:val="75"/>
                              <w:divBdr>
                                <w:top w:val="none" w:sz="0" w:space="0" w:color="auto"/>
                                <w:left w:val="none" w:sz="0" w:space="0" w:color="auto"/>
                                <w:bottom w:val="none" w:sz="0" w:space="0" w:color="auto"/>
                                <w:right w:val="none" w:sz="0" w:space="0" w:color="auto"/>
                              </w:divBdr>
                              <w:divsChild>
                                <w:div w:id="17979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816069">
      <w:bodyDiv w:val="1"/>
      <w:marLeft w:val="0"/>
      <w:marRight w:val="0"/>
      <w:marTop w:val="0"/>
      <w:marBottom w:val="0"/>
      <w:divBdr>
        <w:top w:val="none" w:sz="0" w:space="0" w:color="auto"/>
        <w:left w:val="none" w:sz="0" w:space="0" w:color="auto"/>
        <w:bottom w:val="none" w:sz="0" w:space="0" w:color="auto"/>
        <w:right w:val="none" w:sz="0" w:space="0" w:color="auto"/>
      </w:divBdr>
      <w:divsChild>
        <w:div w:id="1989822613">
          <w:marLeft w:val="0"/>
          <w:marRight w:val="0"/>
          <w:marTop w:val="0"/>
          <w:marBottom w:val="0"/>
          <w:divBdr>
            <w:top w:val="none" w:sz="0" w:space="0" w:color="auto"/>
            <w:left w:val="none" w:sz="0" w:space="0" w:color="auto"/>
            <w:bottom w:val="none" w:sz="0" w:space="0" w:color="auto"/>
            <w:right w:val="none" w:sz="0" w:space="0" w:color="auto"/>
          </w:divBdr>
          <w:divsChild>
            <w:div w:id="509948681">
              <w:marLeft w:val="0"/>
              <w:marRight w:val="0"/>
              <w:marTop w:val="0"/>
              <w:marBottom w:val="0"/>
              <w:divBdr>
                <w:top w:val="none" w:sz="0" w:space="0" w:color="auto"/>
                <w:left w:val="none" w:sz="0" w:space="0" w:color="auto"/>
                <w:bottom w:val="none" w:sz="0" w:space="0" w:color="auto"/>
                <w:right w:val="none" w:sz="0" w:space="0" w:color="auto"/>
              </w:divBdr>
              <w:divsChild>
                <w:div w:id="37629162">
                  <w:marLeft w:val="0"/>
                  <w:marRight w:val="0"/>
                  <w:marTop w:val="0"/>
                  <w:marBottom w:val="0"/>
                  <w:divBdr>
                    <w:top w:val="none" w:sz="0" w:space="0" w:color="auto"/>
                    <w:left w:val="none" w:sz="0" w:space="0" w:color="auto"/>
                    <w:bottom w:val="none" w:sz="0" w:space="0" w:color="auto"/>
                    <w:right w:val="none" w:sz="0" w:space="0" w:color="auto"/>
                  </w:divBdr>
                  <w:divsChild>
                    <w:div w:id="1554006374">
                      <w:marLeft w:val="-450"/>
                      <w:marRight w:val="-450"/>
                      <w:marTop w:val="0"/>
                      <w:marBottom w:val="0"/>
                      <w:divBdr>
                        <w:top w:val="none" w:sz="0" w:space="0" w:color="auto"/>
                        <w:left w:val="none" w:sz="0" w:space="0" w:color="auto"/>
                        <w:bottom w:val="none" w:sz="0" w:space="0" w:color="auto"/>
                        <w:right w:val="none" w:sz="0" w:space="0" w:color="auto"/>
                      </w:divBdr>
                      <w:divsChild>
                        <w:div w:id="220487983">
                          <w:marLeft w:val="0"/>
                          <w:marRight w:val="450"/>
                          <w:marTop w:val="0"/>
                          <w:marBottom w:val="0"/>
                          <w:divBdr>
                            <w:top w:val="none" w:sz="0" w:space="0" w:color="auto"/>
                            <w:left w:val="none" w:sz="0" w:space="0" w:color="auto"/>
                            <w:bottom w:val="none" w:sz="0" w:space="0" w:color="auto"/>
                            <w:right w:val="none" w:sz="0" w:space="0" w:color="auto"/>
                          </w:divBdr>
                          <w:divsChild>
                            <w:div w:id="1983657378">
                              <w:marLeft w:val="0"/>
                              <w:marRight w:val="0"/>
                              <w:marTop w:val="0"/>
                              <w:marBottom w:val="75"/>
                              <w:divBdr>
                                <w:top w:val="none" w:sz="0" w:space="0" w:color="auto"/>
                                <w:left w:val="none" w:sz="0" w:space="0" w:color="auto"/>
                                <w:bottom w:val="none" w:sz="0" w:space="0" w:color="auto"/>
                                <w:right w:val="none" w:sz="0" w:space="0" w:color="auto"/>
                              </w:divBdr>
                              <w:divsChild>
                                <w:div w:id="18937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892287">
      <w:bodyDiv w:val="1"/>
      <w:marLeft w:val="0"/>
      <w:marRight w:val="0"/>
      <w:marTop w:val="0"/>
      <w:marBottom w:val="0"/>
      <w:divBdr>
        <w:top w:val="none" w:sz="0" w:space="0" w:color="auto"/>
        <w:left w:val="none" w:sz="0" w:space="0" w:color="auto"/>
        <w:bottom w:val="none" w:sz="0" w:space="0" w:color="auto"/>
        <w:right w:val="none" w:sz="0" w:space="0" w:color="auto"/>
      </w:divBdr>
      <w:divsChild>
        <w:div w:id="458768693">
          <w:marLeft w:val="0"/>
          <w:marRight w:val="0"/>
          <w:marTop w:val="0"/>
          <w:marBottom w:val="0"/>
          <w:divBdr>
            <w:top w:val="none" w:sz="0" w:space="0" w:color="auto"/>
            <w:left w:val="none" w:sz="0" w:space="0" w:color="auto"/>
            <w:bottom w:val="none" w:sz="0" w:space="0" w:color="auto"/>
            <w:right w:val="none" w:sz="0" w:space="0" w:color="auto"/>
          </w:divBdr>
          <w:divsChild>
            <w:div w:id="201214231">
              <w:marLeft w:val="0"/>
              <w:marRight w:val="0"/>
              <w:marTop w:val="0"/>
              <w:marBottom w:val="0"/>
              <w:divBdr>
                <w:top w:val="none" w:sz="0" w:space="0" w:color="auto"/>
                <w:left w:val="none" w:sz="0" w:space="0" w:color="auto"/>
                <w:bottom w:val="none" w:sz="0" w:space="0" w:color="auto"/>
                <w:right w:val="none" w:sz="0" w:space="0" w:color="auto"/>
              </w:divBdr>
              <w:divsChild>
                <w:div w:id="4636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97458">
      <w:bodyDiv w:val="1"/>
      <w:marLeft w:val="0"/>
      <w:marRight w:val="0"/>
      <w:marTop w:val="0"/>
      <w:marBottom w:val="0"/>
      <w:divBdr>
        <w:top w:val="none" w:sz="0" w:space="0" w:color="auto"/>
        <w:left w:val="none" w:sz="0" w:space="0" w:color="auto"/>
        <w:bottom w:val="none" w:sz="0" w:space="0" w:color="auto"/>
        <w:right w:val="none" w:sz="0" w:space="0" w:color="auto"/>
      </w:divBdr>
      <w:divsChild>
        <w:div w:id="1087767510">
          <w:marLeft w:val="0"/>
          <w:marRight w:val="0"/>
          <w:marTop w:val="0"/>
          <w:marBottom w:val="0"/>
          <w:divBdr>
            <w:top w:val="single" w:sz="2" w:space="0" w:color="auto"/>
            <w:left w:val="single" w:sz="2" w:space="0" w:color="auto"/>
            <w:bottom w:val="single" w:sz="2" w:space="0" w:color="auto"/>
            <w:right w:val="single" w:sz="2" w:space="0" w:color="auto"/>
          </w:divBdr>
          <w:divsChild>
            <w:div w:id="1798256132">
              <w:marLeft w:val="0"/>
              <w:marRight w:val="0"/>
              <w:marTop w:val="0"/>
              <w:marBottom w:val="0"/>
              <w:divBdr>
                <w:top w:val="none" w:sz="0" w:space="0" w:color="auto"/>
                <w:left w:val="none" w:sz="0" w:space="0" w:color="auto"/>
                <w:bottom w:val="none" w:sz="0" w:space="0" w:color="auto"/>
                <w:right w:val="none" w:sz="0" w:space="0" w:color="auto"/>
              </w:divBdr>
              <w:divsChild>
                <w:div w:id="1447579353">
                  <w:marLeft w:val="0"/>
                  <w:marRight w:val="0"/>
                  <w:marTop w:val="0"/>
                  <w:marBottom w:val="0"/>
                  <w:divBdr>
                    <w:top w:val="none" w:sz="0" w:space="0" w:color="auto"/>
                    <w:left w:val="none" w:sz="0" w:space="0" w:color="auto"/>
                    <w:bottom w:val="none" w:sz="0" w:space="0" w:color="auto"/>
                    <w:right w:val="none" w:sz="0" w:space="0" w:color="auto"/>
                  </w:divBdr>
                  <w:divsChild>
                    <w:div w:id="682895815">
                      <w:marLeft w:val="0"/>
                      <w:marRight w:val="0"/>
                      <w:marTop w:val="0"/>
                      <w:marBottom w:val="0"/>
                      <w:divBdr>
                        <w:top w:val="none" w:sz="0" w:space="0" w:color="auto"/>
                        <w:left w:val="none" w:sz="0" w:space="0" w:color="auto"/>
                        <w:bottom w:val="none" w:sz="0" w:space="0" w:color="auto"/>
                        <w:right w:val="none" w:sz="0" w:space="0" w:color="auto"/>
                      </w:divBdr>
                      <w:divsChild>
                        <w:div w:id="6801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212257">
      <w:bodyDiv w:val="1"/>
      <w:marLeft w:val="0"/>
      <w:marRight w:val="0"/>
      <w:marTop w:val="0"/>
      <w:marBottom w:val="0"/>
      <w:divBdr>
        <w:top w:val="none" w:sz="0" w:space="0" w:color="auto"/>
        <w:left w:val="none" w:sz="0" w:space="0" w:color="auto"/>
        <w:bottom w:val="none" w:sz="0" w:space="0" w:color="auto"/>
        <w:right w:val="none" w:sz="0" w:space="0" w:color="auto"/>
      </w:divBdr>
      <w:divsChild>
        <w:div w:id="572928789">
          <w:marLeft w:val="0"/>
          <w:marRight w:val="0"/>
          <w:marTop w:val="0"/>
          <w:marBottom w:val="0"/>
          <w:divBdr>
            <w:top w:val="none" w:sz="0" w:space="0" w:color="auto"/>
            <w:left w:val="none" w:sz="0" w:space="0" w:color="auto"/>
            <w:bottom w:val="none" w:sz="0" w:space="0" w:color="auto"/>
            <w:right w:val="none" w:sz="0" w:space="0" w:color="auto"/>
          </w:divBdr>
          <w:divsChild>
            <w:div w:id="737900697">
              <w:marLeft w:val="0"/>
              <w:marRight w:val="0"/>
              <w:marTop w:val="0"/>
              <w:marBottom w:val="0"/>
              <w:divBdr>
                <w:top w:val="none" w:sz="0" w:space="0" w:color="auto"/>
                <w:left w:val="none" w:sz="0" w:space="0" w:color="auto"/>
                <w:bottom w:val="none" w:sz="0" w:space="0" w:color="auto"/>
                <w:right w:val="none" w:sz="0" w:space="0" w:color="auto"/>
              </w:divBdr>
              <w:divsChild>
                <w:div w:id="367799197">
                  <w:marLeft w:val="0"/>
                  <w:marRight w:val="0"/>
                  <w:marTop w:val="0"/>
                  <w:marBottom w:val="0"/>
                  <w:divBdr>
                    <w:top w:val="none" w:sz="0" w:space="0" w:color="auto"/>
                    <w:left w:val="none" w:sz="0" w:space="0" w:color="auto"/>
                    <w:bottom w:val="none" w:sz="0" w:space="0" w:color="auto"/>
                    <w:right w:val="none" w:sz="0" w:space="0" w:color="auto"/>
                  </w:divBdr>
                  <w:divsChild>
                    <w:div w:id="990864478">
                      <w:marLeft w:val="-450"/>
                      <w:marRight w:val="-450"/>
                      <w:marTop w:val="0"/>
                      <w:marBottom w:val="0"/>
                      <w:divBdr>
                        <w:top w:val="none" w:sz="0" w:space="0" w:color="auto"/>
                        <w:left w:val="none" w:sz="0" w:space="0" w:color="auto"/>
                        <w:bottom w:val="none" w:sz="0" w:space="0" w:color="auto"/>
                        <w:right w:val="none" w:sz="0" w:space="0" w:color="auto"/>
                      </w:divBdr>
                      <w:divsChild>
                        <w:div w:id="1604075139">
                          <w:marLeft w:val="0"/>
                          <w:marRight w:val="450"/>
                          <w:marTop w:val="0"/>
                          <w:marBottom w:val="0"/>
                          <w:divBdr>
                            <w:top w:val="none" w:sz="0" w:space="0" w:color="auto"/>
                            <w:left w:val="none" w:sz="0" w:space="0" w:color="auto"/>
                            <w:bottom w:val="none" w:sz="0" w:space="0" w:color="auto"/>
                            <w:right w:val="none" w:sz="0" w:space="0" w:color="auto"/>
                          </w:divBdr>
                          <w:divsChild>
                            <w:div w:id="964582362">
                              <w:marLeft w:val="0"/>
                              <w:marRight w:val="0"/>
                              <w:marTop w:val="0"/>
                              <w:marBottom w:val="75"/>
                              <w:divBdr>
                                <w:top w:val="none" w:sz="0" w:space="0" w:color="auto"/>
                                <w:left w:val="none" w:sz="0" w:space="0" w:color="auto"/>
                                <w:bottom w:val="none" w:sz="0" w:space="0" w:color="auto"/>
                                <w:right w:val="none" w:sz="0" w:space="0" w:color="auto"/>
                              </w:divBdr>
                              <w:divsChild>
                                <w:div w:id="3880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26931">
      <w:bodyDiv w:val="1"/>
      <w:marLeft w:val="0"/>
      <w:marRight w:val="0"/>
      <w:marTop w:val="0"/>
      <w:marBottom w:val="0"/>
      <w:divBdr>
        <w:top w:val="none" w:sz="0" w:space="0" w:color="auto"/>
        <w:left w:val="none" w:sz="0" w:space="0" w:color="auto"/>
        <w:bottom w:val="none" w:sz="0" w:space="0" w:color="auto"/>
        <w:right w:val="none" w:sz="0" w:space="0" w:color="auto"/>
      </w:divBdr>
      <w:divsChild>
        <w:div w:id="71586690">
          <w:marLeft w:val="0"/>
          <w:marRight w:val="0"/>
          <w:marTop w:val="0"/>
          <w:marBottom w:val="0"/>
          <w:divBdr>
            <w:top w:val="none" w:sz="0" w:space="0" w:color="auto"/>
            <w:left w:val="none" w:sz="0" w:space="0" w:color="auto"/>
            <w:bottom w:val="none" w:sz="0" w:space="0" w:color="auto"/>
            <w:right w:val="none" w:sz="0" w:space="0" w:color="auto"/>
          </w:divBdr>
          <w:divsChild>
            <w:div w:id="895820886">
              <w:marLeft w:val="0"/>
              <w:marRight w:val="0"/>
              <w:marTop w:val="0"/>
              <w:marBottom w:val="0"/>
              <w:divBdr>
                <w:top w:val="none" w:sz="0" w:space="0" w:color="auto"/>
                <w:left w:val="none" w:sz="0" w:space="0" w:color="auto"/>
                <w:bottom w:val="none" w:sz="0" w:space="0" w:color="auto"/>
                <w:right w:val="none" w:sz="0" w:space="0" w:color="auto"/>
              </w:divBdr>
              <w:divsChild>
                <w:div w:id="1509903643">
                  <w:marLeft w:val="0"/>
                  <w:marRight w:val="0"/>
                  <w:marTop w:val="0"/>
                  <w:marBottom w:val="0"/>
                  <w:divBdr>
                    <w:top w:val="none" w:sz="0" w:space="0" w:color="auto"/>
                    <w:left w:val="none" w:sz="0" w:space="0" w:color="auto"/>
                    <w:bottom w:val="none" w:sz="0" w:space="0" w:color="auto"/>
                    <w:right w:val="none" w:sz="0" w:space="0" w:color="auto"/>
                  </w:divBdr>
                  <w:divsChild>
                    <w:div w:id="355080900">
                      <w:marLeft w:val="-450"/>
                      <w:marRight w:val="-450"/>
                      <w:marTop w:val="0"/>
                      <w:marBottom w:val="0"/>
                      <w:divBdr>
                        <w:top w:val="none" w:sz="0" w:space="0" w:color="auto"/>
                        <w:left w:val="none" w:sz="0" w:space="0" w:color="auto"/>
                        <w:bottom w:val="none" w:sz="0" w:space="0" w:color="auto"/>
                        <w:right w:val="none" w:sz="0" w:space="0" w:color="auto"/>
                      </w:divBdr>
                      <w:divsChild>
                        <w:div w:id="197553937">
                          <w:marLeft w:val="0"/>
                          <w:marRight w:val="450"/>
                          <w:marTop w:val="0"/>
                          <w:marBottom w:val="0"/>
                          <w:divBdr>
                            <w:top w:val="none" w:sz="0" w:space="0" w:color="auto"/>
                            <w:left w:val="none" w:sz="0" w:space="0" w:color="auto"/>
                            <w:bottom w:val="none" w:sz="0" w:space="0" w:color="auto"/>
                            <w:right w:val="none" w:sz="0" w:space="0" w:color="auto"/>
                          </w:divBdr>
                          <w:divsChild>
                            <w:div w:id="1462920863">
                              <w:marLeft w:val="0"/>
                              <w:marRight w:val="0"/>
                              <w:marTop w:val="0"/>
                              <w:marBottom w:val="75"/>
                              <w:divBdr>
                                <w:top w:val="none" w:sz="0" w:space="0" w:color="auto"/>
                                <w:left w:val="none" w:sz="0" w:space="0" w:color="auto"/>
                                <w:bottom w:val="none" w:sz="0" w:space="0" w:color="auto"/>
                                <w:right w:val="none" w:sz="0" w:space="0" w:color="auto"/>
                              </w:divBdr>
                              <w:divsChild>
                                <w:div w:id="2928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566472">
      <w:bodyDiv w:val="1"/>
      <w:marLeft w:val="0"/>
      <w:marRight w:val="0"/>
      <w:marTop w:val="0"/>
      <w:marBottom w:val="0"/>
      <w:divBdr>
        <w:top w:val="none" w:sz="0" w:space="0" w:color="auto"/>
        <w:left w:val="none" w:sz="0" w:space="0" w:color="auto"/>
        <w:bottom w:val="none" w:sz="0" w:space="0" w:color="auto"/>
        <w:right w:val="none" w:sz="0" w:space="0" w:color="auto"/>
      </w:divBdr>
      <w:divsChild>
        <w:div w:id="928538519">
          <w:marLeft w:val="0"/>
          <w:marRight w:val="0"/>
          <w:marTop w:val="0"/>
          <w:marBottom w:val="0"/>
          <w:divBdr>
            <w:top w:val="none" w:sz="0" w:space="0" w:color="auto"/>
            <w:left w:val="none" w:sz="0" w:space="0" w:color="auto"/>
            <w:bottom w:val="none" w:sz="0" w:space="0" w:color="auto"/>
            <w:right w:val="none" w:sz="0" w:space="0" w:color="auto"/>
          </w:divBdr>
          <w:divsChild>
            <w:div w:id="762334905">
              <w:marLeft w:val="0"/>
              <w:marRight w:val="0"/>
              <w:marTop w:val="0"/>
              <w:marBottom w:val="0"/>
              <w:divBdr>
                <w:top w:val="none" w:sz="0" w:space="0" w:color="auto"/>
                <w:left w:val="none" w:sz="0" w:space="0" w:color="auto"/>
                <w:bottom w:val="none" w:sz="0" w:space="0" w:color="auto"/>
                <w:right w:val="none" w:sz="0" w:space="0" w:color="auto"/>
              </w:divBdr>
              <w:divsChild>
                <w:div w:id="2048530838">
                  <w:marLeft w:val="0"/>
                  <w:marRight w:val="0"/>
                  <w:marTop w:val="0"/>
                  <w:marBottom w:val="0"/>
                  <w:divBdr>
                    <w:top w:val="none" w:sz="0" w:space="0" w:color="auto"/>
                    <w:left w:val="none" w:sz="0" w:space="0" w:color="auto"/>
                    <w:bottom w:val="none" w:sz="0" w:space="0" w:color="auto"/>
                    <w:right w:val="none" w:sz="0" w:space="0" w:color="auto"/>
                  </w:divBdr>
                  <w:divsChild>
                    <w:div w:id="1388843015">
                      <w:marLeft w:val="0"/>
                      <w:marRight w:val="0"/>
                      <w:marTop w:val="0"/>
                      <w:marBottom w:val="0"/>
                      <w:divBdr>
                        <w:top w:val="none" w:sz="0" w:space="0" w:color="auto"/>
                        <w:left w:val="none" w:sz="0" w:space="0" w:color="auto"/>
                        <w:bottom w:val="none" w:sz="0" w:space="0" w:color="auto"/>
                        <w:right w:val="none" w:sz="0" w:space="0" w:color="auto"/>
                      </w:divBdr>
                      <w:divsChild>
                        <w:div w:id="1875650411">
                          <w:marLeft w:val="0"/>
                          <w:marRight w:val="0"/>
                          <w:marTop w:val="0"/>
                          <w:marBottom w:val="0"/>
                          <w:divBdr>
                            <w:top w:val="none" w:sz="0" w:space="0" w:color="auto"/>
                            <w:left w:val="none" w:sz="0" w:space="0" w:color="auto"/>
                            <w:bottom w:val="none" w:sz="0" w:space="0" w:color="auto"/>
                            <w:right w:val="none" w:sz="0" w:space="0" w:color="auto"/>
                          </w:divBdr>
                          <w:divsChild>
                            <w:div w:id="2029990511">
                              <w:marLeft w:val="0"/>
                              <w:marRight w:val="0"/>
                              <w:marTop w:val="0"/>
                              <w:marBottom w:val="0"/>
                              <w:divBdr>
                                <w:top w:val="none" w:sz="0" w:space="0" w:color="auto"/>
                                <w:left w:val="none" w:sz="0" w:space="0" w:color="auto"/>
                                <w:bottom w:val="none" w:sz="0" w:space="0" w:color="auto"/>
                                <w:right w:val="none" w:sz="0" w:space="0" w:color="auto"/>
                              </w:divBdr>
                              <w:divsChild>
                                <w:div w:id="1059551767">
                                  <w:marLeft w:val="0"/>
                                  <w:marRight w:val="0"/>
                                  <w:marTop w:val="0"/>
                                  <w:marBottom w:val="0"/>
                                  <w:divBdr>
                                    <w:top w:val="none" w:sz="0" w:space="0" w:color="auto"/>
                                    <w:left w:val="none" w:sz="0" w:space="0" w:color="auto"/>
                                    <w:bottom w:val="none" w:sz="0" w:space="0" w:color="auto"/>
                                    <w:right w:val="none" w:sz="0" w:space="0" w:color="auto"/>
                                  </w:divBdr>
                                  <w:divsChild>
                                    <w:div w:id="561452522">
                                      <w:marLeft w:val="0"/>
                                      <w:marRight w:val="0"/>
                                      <w:marTop w:val="0"/>
                                      <w:marBottom w:val="0"/>
                                      <w:divBdr>
                                        <w:top w:val="none" w:sz="0" w:space="0" w:color="auto"/>
                                        <w:left w:val="none" w:sz="0" w:space="0" w:color="auto"/>
                                        <w:bottom w:val="none" w:sz="0" w:space="0" w:color="auto"/>
                                        <w:right w:val="none" w:sz="0" w:space="0" w:color="auto"/>
                                      </w:divBdr>
                                      <w:divsChild>
                                        <w:div w:id="219750479">
                                          <w:marLeft w:val="0"/>
                                          <w:marRight w:val="0"/>
                                          <w:marTop w:val="0"/>
                                          <w:marBottom w:val="0"/>
                                          <w:divBdr>
                                            <w:top w:val="none" w:sz="0" w:space="0" w:color="auto"/>
                                            <w:left w:val="none" w:sz="0" w:space="0" w:color="auto"/>
                                            <w:bottom w:val="none" w:sz="0" w:space="0" w:color="auto"/>
                                            <w:right w:val="none" w:sz="0" w:space="0" w:color="auto"/>
                                          </w:divBdr>
                                        </w:div>
                                        <w:div w:id="2054039432">
                                          <w:marLeft w:val="0"/>
                                          <w:marRight w:val="0"/>
                                          <w:marTop w:val="0"/>
                                          <w:marBottom w:val="0"/>
                                          <w:divBdr>
                                            <w:top w:val="none" w:sz="0" w:space="0" w:color="auto"/>
                                            <w:left w:val="none" w:sz="0" w:space="0" w:color="auto"/>
                                            <w:bottom w:val="none" w:sz="0" w:space="0" w:color="auto"/>
                                            <w:right w:val="none" w:sz="0" w:space="0" w:color="auto"/>
                                          </w:divBdr>
                                        </w:div>
                                        <w:div w:id="254675894">
                                          <w:marLeft w:val="0"/>
                                          <w:marRight w:val="0"/>
                                          <w:marTop w:val="0"/>
                                          <w:marBottom w:val="0"/>
                                          <w:divBdr>
                                            <w:top w:val="none" w:sz="0" w:space="0" w:color="auto"/>
                                            <w:left w:val="none" w:sz="0" w:space="0" w:color="auto"/>
                                            <w:bottom w:val="none" w:sz="0" w:space="0" w:color="auto"/>
                                            <w:right w:val="none" w:sz="0" w:space="0" w:color="auto"/>
                                          </w:divBdr>
                                        </w:div>
                                        <w:div w:id="1324624673">
                                          <w:marLeft w:val="0"/>
                                          <w:marRight w:val="0"/>
                                          <w:marTop w:val="0"/>
                                          <w:marBottom w:val="0"/>
                                          <w:divBdr>
                                            <w:top w:val="none" w:sz="0" w:space="0" w:color="auto"/>
                                            <w:left w:val="none" w:sz="0" w:space="0" w:color="auto"/>
                                            <w:bottom w:val="none" w:sz="0" w:space="0" w:color="auto"/>
                                            <w:right w:val="none" w:sz="0" w:space="0" w:color="auto"/>
                                          </w:divBdr>
                                        </w:div>
                                        <w:div w:id="1875339999">
                                          <w:marLeft w:val="0"/>
                                          <w:marRight w:val="0"/>
                                          <w:marTop w:val="0"/>
                                          <w:marBottom w:val="0"/>
                                          <w:divBdr>
                                            <w:top w:val="none" w:sz="0" w:space="0" w:color="auto"/>
                                            <w:left w:val="none" w:sz="0" w:space="0" w:color="auto"/>
                                            <w:bottom w:val="none" w:sz="0" w:space="0" w:color="auto"/>
                                            <w:right w:val="none" w:sz="0" w:space="0" w:color="auto"/>
                                          </w:divBdr>
                                          <w:divsChild>
                                            <w:div w:id="639261992">
                                              <w:marLeft w:val="0"/>
                                              <w:marRight w:val="0"/>
                                              <w:marTop w:val="0"/>
                                              <w:marBottom w:val="0"/>
                                              <w:divBdr>
                                                <w:top w:val="none" w:sz="0" w:space="0" w:color="auto"/>
                                                <w:left w:val="none" w:sz="0" w:space="0" w:color="auto"/>
                                                <w:bottom w:val="none" w:sz="0" w:space="0" w:color="auto"/>
                                                <w:right w:val="none" w:sz="0" w:space="0" w:color="auto"/>
                                              </w:divBdr>
                                              <w:divsChild>
                                                <w:div w:id="1461847348">
                                                  <w:marLeft w:val="0"/>
                                                  <w:marRight w:val="0"/>
                                                  <w:marTop w:val="0"/>
                                                  <w:marBottom w:val="0"/>
                                                  <w:divBdr>
                                                    <w:top w:val="none" w:sz="0" w:space="0" w:color="auto"/>
                                                    <w:left w:val="none" w:sz="0" w:space="0" w:color="auto"/>
                                                    <w:bottom w:val="none" w:sz="0" w:space="0" w:color="auto"/>
                                                    <w:right w:val="none" w:sz="0" w:space="0" w:color="auto"/>
                                                  </w:divBdr>
                                                  <w:divsChild>
                                                    <w:div w:id="1115632135">
                                                      <w:marLeft w:val="0"/>
                                                      <w:marRight w:val="0"/>
                                                      <w:marTop w:val="0"/>
                                                      <w:marBottom w:val="0"/>
                                                      <w:divBdr>
                                                        <w:top w:val="none" w:sz="0" w:space="0" w:color="auto"/>
                                                        <w:left w:val="none" w:sz="0" w:space="0" w:color="auto"/>
                                                        <w:bottom w:val="none" w:sz="0" w:space="0" w:color="auto"/>
                                                        <w:right w:val="none" w:sz="0" w:space="0" w:color="auto"/>
                                                      </w:divBdr>
                                                      <w:divsChild>
                                                        <w:div w:id="125901954">
                                                          <w:marLeft w:val="0"/>
                                                          <w:marRight w:val="0"/>
                                                          <w:marTop w:val="0"/>
                                                          <w:marBottom w:val="0"/>
                                                          <w:divBdr>
                                                            <w:top w:val="none" w:sz="0" w:space="0" w:color="auto"/>
                                                            <w:left w:val="none" w:sz="0" w:space="0" w:color="auto"/>
                                                            <w:bottom w:val="none" w:sz="0" w:space="0" w:color="auto"/>
                                                            <w:right w:val="none" w:sz="0" w:space="0" w:color="auto"/>
                                                          </w:divBdr>
                                                          <w:divsChild>
                                                            <w:div w:id="688408378">
                                                              <w:marLeft w:val="0"/>
                                                              <w:marRight w:val="0"/>
                                                              <w:marTop w:val="0"/>
                                                              <w:marBottom w:val="0"/>
                                                              <w:divBdr>
                                                                <w:top w:val="none" w:sz="0" w:space="0" w:color="auto"/>
                                                                <w:left w:val="none" w:sz="0" w:space="0" w:color="auto"/>
                                                                <w:bottom w:val="none" w:sz="0" w:space="0" w:color="auto"/>
                                                                <w:right w:val="none" w:sz="0" w:space="0" w:color="auto"/>
                                                              </w:divBdr>
                                                              <w:divsChild>
                                                                <w:div w:id="1347053139">
                                                                  <w:marLeft w:val="0"/>
                                                                  <w:marRight w:val="0"/>
                                                                  <w:marTop w:val="0"/>
                                                                  <w:marBottom w:val="0"/>
                                                                  <w:divBdr>
                                                                    <w:top w:val="none" w:sz="0" w:space="0" w:color="auto"/>
                                                                    <w:left w:val="none" w:sz="0" w:space="0" w:color="auto"/>
                                                                    <w:bottom w:val="none" w:sz="0" w:space="0" w:color="auto"/>
                                                                    <w:right w:val="none" w:sz="0" w:space="0" w:color="auto"/>
                                                                  </w:divBdr>
                                                                  <w:divsChild>
                                                                    <w:div w:id="564337081">
                                                                      <w:marLeft w:val="0"/>
                                                                      <w:marRight w:val="0"/>
                                                                      <w:marTop w:val="0"/>
                                                                      <w:marBottom w:val="0"/>
                                                                      <w:divBdr>
                                                                        <w:top w:val="single" w:sz="2" w:space="0" w:color="CCCBCB"/>
                                                                        <w:left w:val="none" w:sz="0" w:space="0" w:color="auto"/>
                                                                        <w:bottom w:val="single" w:sz="2" w:space="0" w:color="CCCBCB"/>
                                                                        <w:right w:val="none" w:sz="0" w:space="0" w:color="auto"/>
                                                                      </w:divBdr>
                                                                      <w:divsChild>
                                                                        <w:div w:id="1959099925">
                                                                          <w:marLeft w:val="0"/>
                                                                          <w:marRight w:val="0"/>
                                                                          <w:marTop w:val="0"/>
                                                                          <w:marBottom w:val="0"/>
                                                                          <w:divBdr>
                                                                            <w:top w:val="none" w:sz="0" w:space="0" w:color="auto"/>
                                                                            <w:left w:val="none" w:sz="0" w:space="0" w:color="auto"/>
                                                                            <w:bottom w:val="none" w:sz="0" w:space="0" w:color="auto"/>
                                                                            <w:right w:val="none" w:sz="0" w:space="0" w:color="auto"/>
                                                                          </w:divBdr>
                                                                          <w:divsChild>
                                                                            <w:div w:id="414059757">
                                                                              <w:marLeft w:val="0"/>
                                                                              <w:marRight w:val="0"/>
                                                                              <w:marTop w:val="0"/>
                                                                              <w:marBottom w:val="0"/>
                                                                              <w:divBdr>
                                                                                <w:top w:val="none" w:sz="0" w:space="0" w:color="auto"/>
                                                                                <w:left w:val="none" w:sz="0" w:space="0" w:color="auto"/>
                                                                                <w:bottom w:val="none" w:sz="0" w:space="0" w:color="auto"/>
                                                                                <w:right w:val="none" w:sz="0" w:space="0" w:color="auto"/>
                                                                              </w:divBdr>
                                                                              <w:divsChild>
                                                                                <w:div w:id="1729498499">
                                                                                  <w:marLeft w:val="0"/>
                                                                                  <w:marRight w:val="0"/>
                                                                                  <w:marTop w:val="0"/>
                                                                                  <w:marBottom w:val="0"/>
                                                                                  <w:divBdr>
                                                                                    <w:top w:val="none" w:sz="0" w:space="0" w:color="auto"/>
                                                                                    <w:left w:val="none" w:sz="0" w:space="0" w:color="auto"/>
                                                                                    <w:bottom w:val="none" w:sz="0" w:space="0" w:color="auto"/>
                                                                                    <w:right w:val="none" w:sz="0" w:space="0" w:color="auto"/>
                                                                                  </w:divBdr>
                                                                                  <w:divsChild>
                                                                                    <w:div w:id="170343768">
                                                                                      <w:marLeft w:val="0"/>
                                                                                      <w:marRight w:val="0"/>
                                                                                      <w:marTop w:val="0"/>
                                                                                      <w:marBottom w:val="0"/>
                                                                                      <w:divBdr>
                                                                                        <w:top w:val="none" w:sz="0" w:space="0" w:color="auto"/>
                                                                                        <w:left w:val="none" w:sz="0" w:space="0" w:color="auto"/>
                                                                                        <w:bottom w:val="none" w:sz="0" w:space="0" w:color="auto"/>
                                                                                        <w:right w:val="none" w:sz="0" w:space="0" w:color="auto"/>
                                                                                      </w:divBdr>
                                                                                    </w:div>
                                                                                    <w:div w:id="1805659001">
                                                                                      <w:marLeft w:val="0"/>
                                                                                      <w:marRight w:val="0"/>
                                                                                      <w:marTop w:val="0"/>
                                                                                      <w:marBottom w:val="0"/>
                                                                                      <w:divBdr>
                                                                                        <w:top w:val="none" w:sz="0" w:space="0" w:color="auto"/>
                                                                                        <w:left w:val="none" w:sz="0" w:space="0" w:color="auto"/>
                                                                                        <w:bottom w:val="none" w:sz="0" w:space="0" w:color="auto"/>
                                                                                        <w:right w:val="none" w:sz="0" w:space="0" w:color="auto"/>
                                                                                      </w:divBdr>
                                                                                    </w:div>
                                                                                  </w:divsChild>
                                                                                </w:div>
                                                                                <w:div w:id="16613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687651">
      <w:bodyDiv w:val="1"/>
      <w:marLeft w:val="0"/>
      <w:marRight w:val="0"/>
      <w:marTop w:val="0"/>
      <w:marBottom w:val="0"/>
      <w:divBdr>
        <w:top w:val="none" w:sz="0" w:space="0" w:color="auto"/>
        <w:left w:val="none" w:sz="0" w:space="0" w:color="auto"/>
        <w:bottom w:val="none" w:sz="0" w:space="0" w:color="auto"/>
        <w:right w:val="none" w:sz="0" w:space="0" w:color="auto"/>
      </w:divBdr>
      <w:divsChild>
        <w:div w:id="724912313">
          <w:marLeft w:val="0"/>
          <w:marRight w:val="0"/>
          <w:marTop w:val="0"/>
          <w:marBottom w:val="0"/>
          <w:divBdr>
            <w:top w:val="none" w:sz="0" w:space="0" w:color="auto"/>
            <w:left w:val="none" w:sz="0" w:space="0" w:color="auto"/>
            <w:bottom w:val="none" w:sz="0" w:space="0" w:color="auto"/>
            <w:right w:val="none" w:sz="0" w:space="0" w:color="auto"/>
          </w:divBdr>
          <w:divsChild>
            <w:div w:id="860315806">
              <w:marLeft w:val="0"/>
              <w:marRight w:val="0"/>
              <w:marTop w:val="0"/>
              <w:marBottom w:val="0"/>
              <w:divBdr>
                <w:top w:val="none" w:sz="0" w:space="0" w:color="auto"/>
                <w:left w:val="none" w:sz="0" w:space="0" w:color="auto"/>
                <w:bottom w:val="none" w:sz="0" w:space="0" w:color="auto"/>
                <w:right w:val="none" w:sz="0" w:space="0" w:color="auto"/>
              </w:divBdr>
              <w:divsChild>
                <w:div w:id="1455783215">
                  <w:marLeft w:val="0"/>
                  <w:marRight w:val="0"/>
                  <w:marTop w:val="0"/>
                  <w:marBottom w:val="0"/>
                  <w:divBdr>
                    <w:top w:val="none" w:sz="0" w:space="0" w:color="auto"/>
                    <w:left w:val="none" w:sz="0" w:space="0" w:color="auto"/>
                    <w:bottom w:val="none" w:sz="0" w:space="0" w:color="auto"/>
                    <w:right w:val="none" w:sz="0" w:space="0" w:color="auto"/>
                  </w:divBdr>
                  <w:divsChild>
                    <w:div w:id="1926957556">
                      <w:marLeft w:val="-450"/>
                      <w:marRight w:val="-450"/>
                      <w:marTop w:val="0"/>
                      <w:marBottom w:val="0"/>
                      <w:divBdr>
                        <w:top w:val="none" w:sz="0" w:space="0" w:color="auto"/>
                        <w:left w:val="none" w:sz="0" w:space="0" w:color="auto"/>
                        <w:bottom w:val="none" w:sz="0" w:space="0" w:color="auto"/>
                        <w:right w:val="none" w:sz="0" w:space="0" w:color="auto"/>
                      </w:divBdr>
                      <w:divsChild>
                        <w:div w:id="697662302">
                          <w:marLeft w:val="0"/>
                          <w:marRight w:val="450"/>
                          <w:marTop w:val="0"/>
                          <w:marBottom w:val="0"/>
                          <w:divBdr>
                            <w:top w:val="none" w:sz="0" w:space="0" w:color="auto"/>
                            <w:left w:val="none" w:sz="0" w:space="0" w:color="auto"/>
                            <w:bottom w:val="none" w:sz="0" w:space="0" w:color="auto"/>
                            <w:right w:val="none" w:sz="0" w:space="0" w:color="auto"/>
                          </w:divBdr>
                          <w:divsChild>
                            <w:div w:id="1019313926">
                              <w:marLeft w:val="0"/>
                              <w:marRight w:val="0"/>
                              <w:marTop w:val="0"/>
                              <w:marBottom w:val="75"/>
                              <w:divBdr>
                                <w:top w:val="none" w:sz="0" w:space="0" w:color="auto"/>
                                <w:left w:val="none" w:sz="0" w:space="0" w:color="auto"/>
                                <w:bottom w:val="none" w:sz="0" w:space="0" w:color="auto"/>
                                <w:right w:val="none" w:sz="0" w:space="0" w:color="auto"/>
                              </w:divBdr>
                              <w:divsChild>
                                <w:div w:id="18822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286940">
      <w:bodyDiv w:val="1"/>
      <w:marLeft w:val="0"/>
      <w:marRight w:val="0"/>
      <w:marTop w:val="0"/>
      <w:marBottom w:val="0"/>
      <w:divBdr>
        <w:top w:val="none" w:sz="0" w:space="0" w:color="auto"/>
        <w:left w:val="none" w:sz="0" w:space="0" w:color="auto"/>
        <w:bottom w:val="none" w:sz="0" w:space="0" w:color="auto"/>
        <w:right w:val="none" w:sz="0" w:space="0" w:color="auto"/>
      </w:divBdr>
      <w:divsChild>
        <w:div w:id="1910185398">
          <w:marLeft w:val="0"/>
          <w:marRight w:val="0"/>
          <w:marTop w:val="0"/>
          <w:marBottom w:val="0"/>
          <w:divBdr>
            <w:top w:val="none" w:sz="0" w:space="0" w:color="auto"/>
            <w:left w:val="none" w:sz="0" w:space="0" w:color="auto"/>
            <w:bottom w:val="none" w:sz="0" w:space="0" w:color="auto"/>
            <w:right w:val="none" w:sz="0" w:space="0" w:color="auto"/>
          </w:divBdr>
          <w:divsChild>
            <w:div w:id="407457413">
              <w:marLeft w:val="0"/>
              <w:marRight w:val="0"/>
              <w:marTop w:val="0"/>
              <w:marBottom w:val="0"/>
              <w:divBdr>
                <w:top w:val="none" w:sz="0" w:space="0" w:color="auto"/>
                <w:left w:val="none" w:sz="0" w:space="0" w:color="auto"/>
                <w:bottom w:val="single" w:sz="36" w:space="0" w:color="FF9D33"/>
                <w:right w:val="none" w:sz="0" w:space="0" w:color="auto"/>
              </w:divBdr>
              <w:divsChild>
                <w:div w:id="13188181">
                  <w:marLeft w:val="0"/>
                  <w:marRight w:val="0"/>
                  <w:marTop w:val="0"/>
                  <w:marBottom w:val="0"/>
                  <w:divBdr>
                    <w:top w:val="none" w:sz="0" w:space="0" w:color="auto"/>
                    <w:left w:val="none" w:sz="0" w:space="0" w:color="auto"/>
                    <w:bottom w:val="none" w:sz="0" w:space="0" w:color="auto"/>
                    <w:right w:val="none" w:sz="0" w:space="0" w:color="auto"/>
                  </w:divBdr>
                  <w:divsChild>
                    <w:div w:id="1624078001">
                      <w:marLeft w:val="0"/>
                      <w:marRight w:val="0"/>
                      <w:marTop w:val="0"/>
                      <w:marBottom w:val="0"/>
                      <w:divBdr>
                        <w:top w:val="none" w:sz="0" w:space="0" w:color="auto"/>
                        <w:left w:val="none" w:sz="0" w:space="0" w:color="auto"/>
                        <w:bottom w:val="none" w:sz="0" w:space="0" w:color="auto"/>
                        <w:right w:val="none" w:sz="0" w:space="0" w:color="auto"/>
                      </w:divBdr>
                      <w:divsChild>
                        <w:div w:id="1199468150">
                          <w:marLeft w:val="0"/>
                          <w:marRight w:val="0"/>
                          <w:marTop w:val="0"/>
                          <w:marBottom w:val="0"/>
                          <w:divBdr>
                            <w:top w:val="none" w:sz="0" w:space="0" w:color="auto"/>
                            <w:left w:val="none" w:sz="0" w:space="0" w:color="auto"/>
                            <w:bottom w:val="none" w:sz="0" w:space="0" w:color="auto"/>
                            <w:right w:val="none" w:sz="0" w:space="0" w:color="auto"/>
                          </w:divBdr>
                          <w:divsChild>
                            <w:div w:id="761605492">
                              <w:marLeft w:val="0"/>
                              <w:marRight w:val="0"/>
                              <w:marTop w:val="0"/>
                              <w:marBottom w:val="0"/>
                              <w:divBdr>
                                <w:top w:val="none" w:sz="0" w:space="0" w:color="auto"/>
                                <w:left w:val="none" w:sz="0" w:space="0" w:color="auto"/>
                                <w:bottom w:val="none" w:sz="0" w:space="0" w:color="auto"/>
                                <w:right w:val="none" w:sz="0" w:space="0" w:color="auto"/>
                              </w:divBdr>
                              <w:divsChild>
                                <w:div w:id="318308560">
                                  <w:marLeft w:val="0"/>
                                  <w:marRight w:val="0"/>
                                  <w:marTop w:val="0"/>
                                  <w:marBottom w:val="0"/>
                                  <w:divBdr>
                                    <w:top w:val="none" w:sz="0" w:space="0" w:color="auto"/>
                                    <w:left w:val="none" w:sz="0" w:space="0" w:color="auto"/>
                                    <w:bottom w:val="none" w:sz="0" w:space="0" w:color="auto"/>
                                    <w:right w:val="none" w:sz="0" w:space="0" w:color="auto"/>
                                  </w:divBdr>
                                  <w:divsChild>
                                    <w:div w:id="2124493925">
                                      <w:marLeft w:val="0"/>
                                      <w:marRight w:val="0"/>
                                      <w:marTop w:val="0"/>
                                      <w:marBottom w:val="0"/>
                                      <w:divBdr>
                                        <w:top w:val="none" w:sz="0" w:space="0" w:color="auto"/>
                                        <w:left w:val="none" w:sz="0" w:space="0" w:color="auto"/>
                                        <w:bottom w:val="none" w:sz="0" w:space="0" w:color="auto"/>
                                        <w:right w:val="none" w:sz="0" w:space="0" w:color="auto"/>
                                      </w:divBdr>
                                      <w:divsChild>
                                        <w:div w:id="1418598845">
                                          <w:marLeft w:val="0"/>
                                          <w:marRight w:val="0"/>
                                          <w:marTop w:val="0"/>
                                          <w:marBottom w:val="0"/>
                                          <w:divBdr>
                                            <w:top w:val="none" w:sz="0" w:space="0" w:color="auto"/>
                                            <w:left w:val="none" w:sz="0" w:space="0" w:color="auto"/>
                                            <w:bottom w:val="none" w:sz="0" w:space="0" w:color="auto"/>
                                            <w:right w:val="none" w:sz="0" w:space="0" w:color="auto"/>
                                          </w:divBdr>
                                          <w:divsChild>
                                            <w:div w:id="1745951958">
                                              <w:marLeft w:val="0"/>
                                              <w:marRight w:val="0"/>
                                              <w:marTop w:val="0"/>
                                              <w:marBottom w:val="0"/>
                                              <w:divBdr>
                                                <w:top w:val="none" w:sz="0" w:space="0" w:color="auto"/>
                                                <w:left w:val="none" w:sz="0" w:space="0" w:color="auto"/>
                                                <w:bottom w:val="none" w:sz="0" w:space="0" w:color="auto"/>
                                                <w:right w:val="none" w:sz="0" w:space="0" w:color="auto"/>
                                              </w:divBdr>
                                              <w:divsChild>
                                                <w:div w:id="1311399598">
                                                  <w:marLeft w:val="0"/>
                                                  <w:marRight w:val="0"/>
                                                  <w:marTop w:val="0"/>
                                                  <w:marBottom w:val="0"/>
                                                  <w:divBdr>
                                                    <w:top w:val="none" w:sz="0" w:space="0" w:color="auto"/>
                                                    <w:left w:val="none" w:sz="0" w:space="0" w:color="auto"/>
                                                    <w:bottom w:val="none" w:sz="0" w:space="0" w:color="auto"/>
                                                    <w:right w:val="none" w:sz="0" w:space="0" w:color="auto"/>
                                                  </w:divBdr>
                                                  <w:divsChild>
                                                    <w:div w:id="13477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104565">
      <w:bodyDiv w:val="1"/>
      <w:marLeft w:val="0"/>
      <w:marRight w:val="0"/>
      <w:marTop w:val="0"/>
      <w:marBottom w:val="0"/>
      <w:divBdr>
        <w:top w:val="none" w:sz="0" w:space="0" w:color="auto"/>
        <w:left w:val="none" w:sz="0" w:space="0" w:color="auto"/>
        <w:bottom w:val="none" w:sz="0" w:space="0" w:color="auto"/>
        <w:right w:val="none" w:sz="0" w:space="0" w:color="auto"/>
      </w:divBdr>
      <w:divsChild>
        <w:div w:id="184365026">
          <w:marLeft w:val="0"/>
          <w:marRight w:val="0"/>
          <w:marTop w:val="0"/>
          <w:marBottom w:val="0"/>
          <w:divBdr>
            <w:top w:val="single" w:sz="6" w:space="5" w:color="D2D2D2"/>
            <w:left w:val="single" w:sz="6" w:space="5" w:color="D2D2D2"/>
            <w:bottom w:val="single" w:sz="6" w:space="5" w:color="D2D2D2"/>
            <w:right w:val="single" w:sz="6" w:space="5" w:color="D2D2D2"/>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pl.wikipedia.org/wiki/Przeznaczeni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pl.wikipedia.org/wiki/Gmina"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po.warmia.mazury.pl" TargetMode="External"/><Relationship Id="rId20" Type="http://schemas.openxmlformats.org/officeDocument/2006/relationships/hyperlink" Target="http://pl.wikipedia.org/wiki/Planowanie_przestrzen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odlaskiedotacje.pl" TargetMode="External"/><Relationship Id="rId23" Type="http://schemas.openxmlformats.org/officeDocument/2006/relationships/hyperlink" Target="http://pl.wikipedia.org/wiki/Studium_uwarunkowa%C5%84_i_kierunk%C3%B3w_zagospodarowania_przestrzennego" TargetMode="External"/><Relationship Id="rId10" Type="http://schemas.openxmlformats.org/officeDocument/2006/relationships/chart" Target="charts/chart2.xml"/><Relationship Id="rId19" Type="http://schemas.openxmlformats.org/officeDocument/2006/relationships/hyperlink" Target="http://pl.wikipedia.org/wiki/Inwestycja_celu_publicznego"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pl.wikipedia.org/wiki/Decyzja_administracyjna" TargetMode="Externa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paiz.gov.pl/strefa_inwestora/parki_przemyslowe_i_technologiczn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Arkusz_programu_Microsoft_Office_Excel7.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2"/>
          <c:order val="0"/>
          <c:tx>
            <c:strRef>
              <c:f>Arkusz1!$A$67</c:f>
              <c:strCache>
                <c:ptCount val="1"/>
                <c:pt idx="0">
                  <c:v>Suwałki</c:v>
                </c:pt>
              </c:strCache>
            </c:strRef>
          </c:tx>
          <c:spPr>
            <a:solidFill>
              <a:srgbClr val="69A010"/>
            </a:solidFill>
          </c:spPr>
          <c:dPt>
            <c:idx val="0"/>
            <c:spPr>
              <a:solidFill>
                <a:srgbClr val="69A010"/>
              </a:solidFill>
            </c:spPr>
          </c:dPt>
          <c:dLbls>
            <c:dLbl>
              <c:idx val="0"/>
              <c:layout>
                <c:manualLayout>
                  <c:x val="-2.0789136895078199E-2"/>
                  <c:y val="3.3840414618223694E-2"/>
                </c:manualLayout>
              </c:layout>
              <c:showVal val="1"/>
            </c:dLbl>
            <c:dLbl>
              <c:idx val="1"/>
              <c:layout>
                <c:manualLayout>
                  <c:x val="-1.7874840025162257E-2"/>
                  <c:y val="5.4144983146142703E-2"/>
                </c:manualLayout>
              </c:layout>
              <c:showVal val="1"/>
            </c:dLbl>
            <c:dLbl>
              <c:idx val="2"/>
              <c:layout>
                <c:manualLayout>
                  <c:x val="-1.20521463742652E-2"/>
                  <c:y val="5.1962108797313986E-2"/>
                </c:manualLayout>
              </c:layout>
              <c:showVal val="1"/>
            </c:dLbl>
            <c:dLbl>
              <c:idx val="3"/>
              <c:layout>
                <c:manualLayout>
                  <c:x val="-1.3467124839540434E-2"/>
                  <c:y val="-1.8338727855444624E-2"/>
                </c:manualLayout>
              </c:layout>
              <c:showVal val="1"/>
            </c:dLbl>
            <c:dLbl>
              <c:idx val="4"/>
              <c:layout>
                <c:manualLayout>
                  <c:x val="-1.4963472043933859E-2"/>
                  <c:y val="0"/>
                </c:manualLayout>
              </c:layout>
              <c:showVal val="1"/>
            </c:dLbl>
            <c:dLbl>
              <c:idx val="5"/>
              <c:layout>
                <c:manualLayout>
                  <c:x val="-1.4963472043933803E-2"/>
                  <c:y val="0"/>
                </c:manualLayout>
              </c:layout>
              <c:showVal val="1"/>
            </c:dLbl>
            <c:dLbl>
              <c:idx val="6"/>
              <c:layout>
                <c:manualLayout>
                  <c:x val="-9.685690115182076E-3"/>
                  <c:y val="-4.0827104733735804E-2"/>
                </c:manualLayout>
              </c:layout>
              <c:showVal val="1"/>
            </c:dLbl>
            <c:txPr>
              <a:bodyPr/>
              <a:lstStyle/>
              <a:p>
                <a:pPr>
                  <a:defRPr sz="900" baseline="0"/>
                </a:pPr>
                <a:endParaRPr lang="pl-PL"/>
              </a:p>
            </c:txPr>
            <c:showVal val="1"/>
          </c:dLbls>
          <c:cat>
            <c:numRef>
              <c:f>Arkusz1!$B$66:$H$66</c:f>
              <c:numCache>
                <c:formatCode>General</c:formatCode>
                <c:ptCount val="7"/>
                <c:pt idx="0">
                  <c:v>2006</c:v>
                </c:pt>
                <c:pt idx="1">
                  <c:v>2007</c:v>
                </c:pt>
                <c:pt idx="2">
                  <c:v>2008</c:v>
                </c:pt>
                <c:pt idx="3">
                  <c:v>2009</c:v>
                </c:pt>
                <c:pt idx="4">
                  <c:v>2010</c:v>
                </c:pt>
                <c:pt idx="5">
                  <c:v>2011</c:v>
                </c:pt>
                <c:pt idx="6">
                  <c:v>2012</c:v>
                </c:pt>
              </c:numCache>
            </c:numRef>
          </c:cat>
          <c:val>
            <c:numRef>
              <c:f>Arkusz1!$B$67:$H$67</c:f>
              <c:numCache>
                <c:formatCode>0</c:formatCode>
                <c:ptCount val="7"/>
                <c:pt idx="0">
                  <c:v>104.59809952921469</c:v>
                </c:pt>
                <c:pt idx="1">
                  <c:v>102.29355811838741</c:v>
                </c:pt>
                <c:pt idx="2">
                  <c:v>101.76265922880081</c:v>
                </c:pt>
                <c:pt idx="3">
                  <c:v>103.06623116879381</c:v>
                </c:pt>
                <c:pt idx="4">
                  <c:v>100.97479962452161</c:v>
                </c:pt>
                <c:pt idx="5">
                  <c:v>98.872995231902919</c:v>
                </c:pt>
                <c:pt idx="6">
                  <c:v>100.0950953835512</c:v>
                </c:pt>
              </c:numCache>
            </c:numRef>
          </c:val>
        </c:ser>
        <c:ser>
          <c:idx val="3"/>
          <c:order val="1"/>
          <c:tx>
            <c:strRef>
              <c:f>Arkusz1!$A$68</c:f>
              <c:strCache>
                <c:ptCount val="1"/>
                <c:pt idx="0">
                  <c:v>Łomża</c:v>
                </c:pt>
              </c:strCache>
            </c:strRef>
          </c:tx>
          <c:spPr>
            <a:solidFill>
              <a:srgbClr val="7030A0"/>
            </a:solidFill>
            <a:ln>
              <a:noFill/>
            </a:ln>
          </c:spPr>
          <c:dLbls>
            <c:dLbl>
              <c:idx val="0"/>
              <c:layout>
                <c:manualLayout>
                  <c:x val="4.4077134986226533E-3"/>
                  <c:y val="-3.384201340314711E-2"/>
                </c:manualLayout>
              </c:layout>
              <c:showVal val="1"/>
            </c:dLbl>
            <c:dLbl>
              <c:idx val="1"/>
              <c:layout>
                <c:manualLayout>
                  <c:x val="-6.6115702479338893E-3"/>
                  <c:y val="-2.707275803722526E-2"/>
                </c:manualLayout>
              </c:layout>
              <c:showVal val="1"/>
            </c:dLbl>
            <c:dLbl>
              <c:idx val="3"/>
              <c:layout>
                <c:manualLayout>
                  <c:x val="-4.0403573658510967E-17"/>
                  <c:y val="2.0304568527918801E-2"/>
                </c:manualLayout>
              </c:layout>
              <c:showVal val="1"/>
            </c:dLbl>
            <c:dLbl>
              <c:idx val="4"/>
              <c:layout>
                <c:manualLayout>
                  <c:x val="-8.0807147317021972E-17"/>
                  <c:y val="2.707275803722526E-2"/>
                </c:manualLayout>
              </c:layout>
              <c:showVal val="1"/>
            </c:dLbl>
            <c:dLbl>
              <c:idx val="6"/>
              <c:layout>
                <c:manualLayout>
                  <c:x val="0"/>
                  <c:y val="2.0304568527918801E-2"/>
                </c:manualLayout>
              </c:layout>
              <c:showVal val="1"/>
            </c:dLbl>
            <c:txPr>
              <a:bodyPr/>
              <a:lstStyle/>
              <a:p>
                <a:pPr>
                  <a:defRPr sz="900" baseline="0"/>
                </a:pPr>
                <a:endParaRPr lang="pl-PL"/>
              </a:p>
            </c:txPr>
            <c:showVal val="1"/>
          </c:dLbls>
          <c:cat>
            <c:numRef>
              <c:f>Arkusz1!$B$66:$H$66</c:f>
              <c:numCache>
                <c:formatCode>General</c:formatCode>
                <c:ptCount val="7"/>
                <c:pt idx="0">
                  <c:v>2006</c:v>
                </c:pt>
                <c:pt idx="1">
                  <c:v>2007</c:v>
                </c:pt>
                <c:pt idx="2">
                  <c:v>2008</c:v>
                </c:pt>
                <c:pt idx="3">
                  <c:v>2009</c:v>
                </c:pt>
                <c:pt idx="4">
                  <c:v>2010</c:v>
                </c:pt>
                <c:pt idx="5">
                  <c:v>2011</c:v>
                </c:pt>
                <c:pt idx="6">
                  <c:v>2012</c:v>
                </c:pt>
              </c:numCache>
            </c:numRef>
          </c:cat>
          <c:val>
            <c:numRef>
              <c:f>Arkusz1!$B$68:$H$68</c:f>
              <c:numCache>
                <c:formatCode>0</c:formatCode>
                <c:ptCount val="7"/>
                <c:pt idx="0">
                  <c:v>100.28870273084367</c:v>
                </c:pt>
                <c:pt idx="1">
                  <c:v>100.57744780760167</c:v>
                </c:pt>
                <c:pt idx="2">
                  <c:v>101.43118918235822</c:v>
                </c:pt>
                <c:pt idx="3">
                  <c:v>100.16257082879535</c:v>
                </c:pt>
                <c:pt idx="4">
                  <c:v>97.768146660128764</c:v>
                </c:pt>
                <c:pt idx="5">
                  <c:v>95.972728714127058</c:v>
                </c:pt>
                <c:pt idx="6">
                  <c:v>98.51620709418583</c:v>
                </c:pt>
              </c:numCache>
            </c:numRef>
          </c:val>
        </c:ser>
        <c:ser>
          <c:idx val="4"/>
          <c:order val="2"/>
          <c:tx>
            <c:strRef>
              <c:f>Arkusz1!$A$69</c:f>
              <c:strCache>
                <c:ptCount val="1"/>
                <c:pt idx="0">
                  <c:v>Białystok</c:v>
                </c:pt>
              </c:strCache>
            </c:strRef>
          </c:tx>
          <c:dLbls>
            <c:dLbl>
              <c:idx val="0"/>
              <c:layout>
                <c:manualLayout>
                  <c:x val="8.9780265070173032E-3"/>
                  <c:y val="2.2487442876747255E-2"/>
                </c:manualLayout>
              </c:layout>
              <c:showVal val="1"/>
            </c:dLbl>
            <c:dLbl>
              <c:idx val="1"/>
              <c:layout>
                <c:manualLayout>
                  <c:x val="4.5703130083946482E-3"/>
                  <c:y val="2.0304035599611001E-2"/>
                </c:manualLayout>
              </c:layout>
              <c:showVal val="1"/>
            </c:dLbl>
            <c:dLbl>
              <c:idx val="2"/>
              <c:layout>
                <c:manualLayout>
                  <c:x val="1.5589596754951045E-2"/>
                  <c:y val="1.1135004063578363E-2"/>
                </c:manualLayout>
              </c:layout>
              <c:showVal val="1"/>
            </c:dLbl>
            <c:dLbl>
              <c:idx val="3"/>
              <c:layout>
                <c:manualLayout>
                  <c:x val="1.6378473351988141E-2"/>
                  <c:y val="-2.4889350760089204E-2"/>
                </c:manualLayout>
              </c:layout>
              <c:showVal val="1"/>
            </c:dLbl>
            <c:dLbl>
              <c:idx val="4"/>
              <c:layout>
                <c:manualLayout>
                  <c:x val="1.1019283746556479E-2"/>
                  <c:y val="6.7681895093062603E-3"/>
                </c:manualLayout>
              </c:layout>
              <c:showVal val="1"/>
            </c:dLbl>
            <c:dLbl>
              <c:idx val="6"/>
              <c:layout>
                <c:manualLayout>
                  <c:x val="4.4073664345676321E-3"/>
                  <c:y val="1.3536379018612687E-2"/>
                </c:manualLayout>
              </c:layout>
              <c:showVal val="1"/>
            </c:dLbl>
            <c:txPr>
              <a:bodyPr/>
              <a:lstStyle/>
              <a:p>
                <a:pPr>
                  <a:defRPr sz="900" baseline="0"/>
                </a:pPr>
                <a:endParaRPr lang="pl-PL"/>
              </a:p>
            </c:txPr>
            <c:showVal val="1"/>
          </c:dLbls>
          <c:cat>
            <c:numRef>
              <c:f>Arkusz1!$B$66:$H$66</c:f>
              <c:numCache>
                <c:formatCode>General</c:formatCode>
                <c:ptCount val="7"/>
                <c:pt idx="0">
                  <c:v>2006</c:v>
                </c:pt>
                <c:pt idx="1">
                  <c:v>2007</c:v>
                </c:pt>
                <c:pt idx="2">
                  <c:v>2008</c:v>
                </c:pt>
                <c:pt idx="3">
                  <c:v>2009</c:v>
                </c:pt>
                <c:pt idx="4">
                  <c:v>2010</c:v>
                </c:pt>
                <c:pt idx="5">
                  <c:v>2011</c:v>
                </c:pt>
                <c:pt idx="6">
                  <c:v>2012</c:v>
                </c:pt>
              </c:numCache>
            </c:numRef>
          </c:cat>
          <c:val>
            <c:numRef>
              <c:f>Arkusz1!$B$69:$H$69</c:f>
              <c:numCache>
                <c:formatCode>0</c:formatCode>
                <c:ptCount val="7"/>
                <c:pt idx="0">
                  <c:v>99.833802530271484</c:v>
                </c:pt>
                <c:pt idx="1">
                  <c:v>100.12816895183619</c:v>
                </c:pt>
                <c:pt idx="2">
                  <c:v>101.39961176666564</c:v>
                </c:pt>
                <c:pt idx="3">
                  <c:v>102.00383460305071</c:v>
                </c:pt>
                <c:pt idx="4">
                  <c:v>105.90857661637274</c:v>
                </c:pt>
                <c:pt idx="5">
                  <c:v>106.48730198642176</c:v>
                </c:pt>
                <c:pt idx="6">
                  <c:v>109.89383597641383</c:v>
                </c:pt>
              </c:numCache>
            </c:numRef>
          </c:val>
        </c:ser>
        <c:ser>
          <c:idx val="0"/>
          <c:order val="3"/>
          <c:tx>
            <c:strRef>
              <c:f>Arkusz1!$A$70</c:f>
              <c:strCache>
                <c:ptCount val="1"/>
                <c:pt idx="0">
                  <c:v>Ełk</c:v>
                </c:pt>
              </c:strCache>
            </c:strRef>
          </c:tx>
          <c:spPr>
            <a:solidFill>
              <a:schemeClr val="accent2">
                <a:lumMod val="75000"/>
              </a:schemeClr>
            </a:solidFill>
          </c:spPr>
          <c:dLbls>
            <c:dLbl>
              <c:idx val="0"/>
              <c:layout>
                <c:manualLayout>
                  <c:x val="4.4077134986226455E-3"/>
                  <c:y val="3.3840947546531525E-2"/>
                </c:manualLayout>
              </c:layout>
              <c:showVal val="1"/>
            </c:dLbl>
            <c:dLbl>
              <c:idx val="1"/>
              <c:layout>
                <c:manualLayout>
                  <c:x val="6.6115702479338893E-3"/>
                  <c:y val="4.7377326565143922E-2"/>
                </c:manualLayout>
              </c:layout>
              <c:showVal val="1"/>
            </c:dLbl>
            <c:dLbl>
              <c:idx val="2"/>
              <c:layout>
                <c:manualLayout>
                  <c:x val="6.6115702479338893E-3"/>
                  <c:y val="4.0609137055837574E-2"/>
                </c:manualLayout>
              </c:layout>
              <c:showVal val="1"/>
            </c:dLbl>
            <c:dLbl>
              <c:idx val="3"/>
              <c:layout>
                <c:manualLayout>
                  <c:x val="8.8154269972453552E-3"/>
                  <c:y val="4.0609137055837574E-2"/>
                </c:manualLayout>
              </c:layout>
              <c:showVal val="1"/>
            </c:dLbl>
            <c:dLbl>
              <c:idx val="4"/>
              <c:layout>
                <c:manualLayout>
                  <c:x val="6.6115702479338893E-3"/>
                  <c:y val="2.0304568527918752E-2"/>
                </c:manualLayout>
              </c:layout>
              <c:showVal val="1"/>
            </c:dLbl>
            <c:dLbl>
              <c:idx val="5"/>
              <c:layout>
                <c:manualLayout>
                  <c:x val="6.6115702479338104E-3"/>
                  <c:y val="3.3840947546531497E-2"/>
                </c:manualLayout>
              </c:layout>
              <c:showVal val="1"/>
            </c:dLbl>
            <c:dLbl>
              <c:idx val="6"/>
              <c:layout>
                <c:manualLayout>
                  <c:x val="6.6115702479338893E-3"/>
                  <c:y val="2.0304568527918801E-2"/>
                </c:manualLayout>
              </c:layout>
              <c:showVal val="1"/>
            </c:dLbl>
            <c:txPr>
              <a:bodyPr/>
              <a:lstStyle/>
              <a:p>
                <a:pPr>
                  <a:defRPr sz="900" baseline="0"/>
                </a:pPr>
                <a:endParaRPr lang="pl-PL"/>
              </a:p>
            </c:txPr>
            <c:showVal val="1"/>
          </c:dLbls>
          <c:cat>
            <c:numRef>
              <c:f>Arkusz1!$B$66:$H$66</c:f>
              <c:numCache>
                <c:formatCode>General</c:formatCode>
                <c:ptCount val="7"/>
                <c:pt idx="0">
                  <c:v>2006</c:v>
                </c:pt>
                <c:pt idx="1">
                  <c:v>2007</c:v>
                </c:pt>
                <c:pt idx="2">
                  <c:v>2008</c:v>
                </c:pt>
                <c:pt idx="3">
                  <c:v>2009</c:v>
                </c:pt>
                <c:pt idx="4">
                  <c:v>2010</c:v>
                </c:pt>
                <c:pt idx="5">
                  <c:v>2011</c:v>
                </c:pt>
                <c:pt idx="6">
                  <c:v>2012</c:v>
                </c:pt>
              </c:numCache>
            </c:numRef>
          </c:cat>
          <c:val>
            <c:numRef>
              <c:f>Arkusz1!$B$70:$H$70</c:f>
              <c:numCache>
                <c:formatCode>0</c:formatCode>
                <c:ptCount val="7"/>
                <c:pt idx="0">
                  <c:v>89.151831716589797</c:v>
                </c:pt>
                <c:pt idx="1">
                  <c:v>89.862076263712979</c:v>
                </c:pt>
                <c:pt idx="2">
                  <c:v>92.002310560310875</c:v>
                </c:pt>
                <c:pt idx="3">
                  <c:v>90.796991958873903</c:v>
                </c:pt>
                <c:pt idx="4">
                  <c:v>86.825940883021389</c:v>
                </c:pt>
                <c:pt idx="5">
                  <c:v>84.067213280696649</c:v>
                </c:pt>
                <c:pt idx="6">
                  <c:v>85.018274486134857</c:v>
                </c:pt>
              </c:numCache>
            </c:numRef>
          </c:val>
        </c:ser>
        <c:ser>
          <c:idx val="5"/>
          <c:order val="4"/>
          <c:tx>
            <c:strRef>
              <c:f>Arkusz1!$A$71</c:f>
              <c:strCache>
                <c:ptCount val="1"/>
                <c:pt idx="0">
                  <c:v>Podlaskie ogółem</c:v>
                </c:pt>
              </c:strCache>
            </c:strRef>
          </c:tx>
          <c:spPr>
            <a:solidFill>
              <a:srgbClr val="DEE587"/>
            </a:solidFill>
          </c:spPr>
          <c:dLbls>
            <c:dLbl>
              <c:idx val="0"/>
              <c:layout>
                <c:manualLayout>
                  <c:x val="8.8154269972453552E-3"/>
                  <c:y val="2.7072758037225229E-2"/>
                </c:manualLayout>
              </c:layout>
              <c:showVal val="1"/>
            </c:dLbl>
            <c:dLbl>
              <c:idx val="1"/>
              <c:layout>
                <c:manualLayout>
                  <c:x val="8.8154269972453552E-3"/>
                  <c:y val="4.0609137055837574E-2"/>
                </c:manualLayout>
              </c:layout>
              <c:showVal val="1"/>
            </c:dLbl>
            <c:dLbl>
              <c:idx val="2"/>
              <c:layout>
                <c:manualLayout>
                  <c:x val="6.6115702479338893E-3"/>
                  <c:y val="3.3840947546531525E-2"/>
                </c:manualLayout>
              </c:layout>
              <c:showVal val="1"/>
            </c:dLbl>
            <c:dLbl>
              <c:idx val="3"/>
              <c:layout>
                <c:manualLayout>
                  <c:x val="8.8154269972452477E-3"/>
                  <c:y val="3.3840947546531525E-2"/>
                </c:manualLayout>
              </c:layout>
              <c:showVal val="1"/>
            </c:dLbl>
            <c:dLbl>
              <c:idx val="4"/>
              <c:layout>
                <c:manualLayout>
                  <c:x val="8.8154269972453552E-3"/>
                  <c:y val="4.0609137055837533E-2"/>
                </c:manualLayout>
              </c:layout>
              <c:showVal val="1"/>
            </c:dLbl>
            <c:dLbl>
              <c:idx val="5"/>
              <c:layout>
                <c:manualLayout>
                  <c:x val="8.8154269972452477E-3"/>
                  <c:y val="4.0609137055837574E-2"/>
                </c:manualLayout>
              </c:layout>
              <c:showVal val="1"/>
            </c:dLbl>
            <c:dLbl>
              <c:idx val="6"/>
              <c:layout>
                <c:manualLayout>
                  <c:x val="8.8154269972453552E-3"/>
                  <c:y val="5.4144983146142703E-2"/>
                </c:manualLayout>
              </c:layout>
              <c:showVal val="1"/>
            </c:dLbl>
            <c:txPr>
              <a:bodyPr/>
              <a:lstStyle/>
              <a:p>
                <a:pPr>
                  <a:defRPr sz="900" baseline="0"/>
                </a:pPr>
                <a:endParaRPr lang="pl-PL"/>
              </a:p>
            </c:txPr>
            <c:showVal val="1"/>
          </c:dLbls>
          <c:cat>
            <c:numRef>
              <c:f>Arkusz1!$B$66:$H$66</c:f>
              <c:numCache>
                <c:formatCode>General</c:formatCode>
                <c:ptCount val="7"/>
                <c:pt idx="0">
                  <c:v>2006</c:v>
                </c:pt>
                <c:pt idx="1">
                  <c:v>2007</c:v>
                </c:pt>
                <c:pt idx="2">
                  <c:v>2008</c:v>
                </c:pt>
                <c:pt idx="3">
                  <c:v>2009</c:v>
                </c:pt>
                <c:pt idx="4">
                  <c:v>2010</c:v>
                </c:pt>
                <c:pt idx="5">
                  <c:v>2011</c:v>
                </c:pt>
                <c:pt idx="6">
                  <c:v>2012</c:v>
                </c:pt>
              </c:numCache>
            </c:numRef>
          </c:cat>
          <c:val>
            <c:numRef>
              <c:f>Arkusz1!$B$71:$H$71</c:f>
              <c:numCache>
                <c:formatCode>0</c:formatCode>
                <c:ptCount val="7"/>
                <c:pt idx="0">
                  <c:v>74.350744627752988</c:v>
                </c:pt>
                <c:pt idx="1">
                  <c:v>74.34222661948921</c:v>
                </c:pt>
                <c:pt idx="2">
                  <c:v>75.729141312831715</c:v>
                </c:pt>
                <c:pt idx="3">
                  <c:v>75.292650187311267</c:v>
                </c:pt>
                <c:pt idx="4">
                  <c:v>77.315288947757708</c:v>
                </c:pt>
                <c:pt idx="5">
                  <c:v>76.385824267141402</c:v>
                </c:pt>
                <c:pt idx="6">
                  <c:v>79.020430636778315</c:v>
                </c:pt>
              </c:numCache>
            </c:numRef>
          </c:val>
        </c:ser>
        <c:axId val="64544128"/>
        <c:axId val="64580992"/>
      </c:barChart>
      <c:catAx>
        <c:axId val="64544128"/>
        <c:scaling>
          <c:orientation val="minMax"/>
        </c:scaling>
        <c:axPos val="b"/>
        <c:numFmt formatCode="General" sourceLinked="1"/>
        <c:tickLblPos val="nextTo"/>
        <c:crossAx val="64580992"/>
        <c:crosses val="autoZero"/>
        <c:auto val="1"/>
        <c:lblAlgn val="ctr"/>
        <c:lblOffset val="100"/>
      </c:catAx>
      <c:valAx>
        <c:axId val="64580992"/>
        <c:scaling>
          <c:orientation val="minMax"/>
        </c:scaling>
        <c:delete val="1"/>
        <c:axPos val="l"/>
        <c:numFmt formatCode="0" sourceLinked="1"/>
        <c:tickLblPos val="none"/>
        <c:crossAx val="64544128"/>
        <c:crosses val="autoZero"/>
        <c:crossBetween val="between"/>
      </c:valAx>
      <c:spPr>
        <a:noFill/>
        <a:ln w="25400">
          <a:noFill/>
        </a:ln>
      </c:spPr>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clustered"/>
        <c:ser>
          <c:idx val="0"/>
          <c:order val="0"/>
          <c:tx>
            <c:strRef>
              <c:f>Arkusz1!$A$86</c:f>
              <c:strCache>
                <c:ptCount val="1"/>
                <c:pt idx="0">
                  <c:v>m. Suwałki</c:v>
                </c:pt>
              </c:strCache>
            </c:strRef>
          </c:tx>
          <c:spPr>
            <a:solidFill>
              <a:srgbClr val="69A010"/>
            </a:solidFill>
          </c:spPr>
          <c:dLbls>
            <c:txPr>
              <a:bodyPr/>
              <a:lstStyle/>
              <a:p>
                <a:pPr>
                  <a:defRPr b="1" baseline="0"/>
                </a:pPr>
                <a:endParaRPr lang="pl-PL"/>
              </a:p>
            </c:txPr>
            <c:showVal val="1"/>
          </c:dLbls>
          <c:cat>
            <c:numRef>
              <c:f>Arkusz1!$B$85:$I$85</c:f>
              <c:numCache>
                <c:formatCode>General</c:formatCode>
                <c:ptCount val="8"/>
                <c:pt idx="0">
                  <c:v>2006</c:v>
                </c:pt>
                <c:pt idx="1">
                  <c:v>2007</c:v>
                </c:pt>
                <c:pt idx="2">
                  <c:v>2008</c:v>
                </c:pt>
                <c:pt idx="3">
                  <c:v>2009</c:v>
                </c:pt>
                <c:pt idx="4">
                  <c:v>2010</c:v>
                </c:pt>
                <c:pt idx="5">
                  <c:v>2011</c:v>
                </c:pt>
                <c:pt idx="6">
                  <c:v>2012</c:v>
                </c:pt>
                <c:pt idx="7">
                  <c:v>2013</c:v>
                </c:pt>
              </c:numCache>
            </c:numRef>
          </c:cat>
          <c:val>
            <c:numRef>
              <c:f>Arkusz1!$B$86:$I$86</c:f>
              <c:numCache>
                <c:formatCode>General</c:formatCode>
                <c:ptCount val="8"/>
                <c:pt idx="0">
                  <c:v>7243</c:v>
                </c:pt>
                <c:pt idx="1">
                  <c:v>7087</c:v>
                </c:pt>
                <c:pt idx="2">
                  <c:v>7078</c:v>
                </c:pt>
                <c:pt idx="3">
                  <c:v>7163</c:v>
                </c:pt>
                <c:pt idx="4">
                  <c:v>6992</c:v>
                </c:pt>
                <c:pt idx="5">
                  <c:v>6843</c:v>
                </c:pt>
                <c:pt idx="6">
                  <c:v>6947</c:v>
                </c:pt>
                <c:pt idx="7">
                  <c:v>6957</c:v>
                </c:pt>
              </c:numCache>
            </c:numRef>
          </c:val>
        </c:ser>
        <c:ser>
          <c:idx val="1"/>
          <c:order val="1"/>
          <c:tx>
            <c:strRef>
              <c:f>Arkusz1!$A$87</c:f>
              <c:strCache>
                <c:ptCount val="1"/>
                <c:pt idx="0">
                  <c:v>m. Łomża</c:v>
                </c:pt>
              </c:strCache>
            </c:strRef>
          </c:tx>
          <c:spPr>
            <a:solidFill>
              <a:srgbClr val="7030A0"/>
            </a:solidFill>
          </c:spPr>
          <c:dLbls>
            <c:txPr>
              <a:bodyPr/>
              <a:lstStyle/>
              <a:p>
                <a:pPr>
                  <a:defRPr b="1"/>
                </a:pPr>
                <a:endParaRPr lang="pl-PL"/>
              </a:p>
            </c:txPr>
            <c:showVal val="1"/>
          </c:dLbls>
          <c:cat>
            <c:numRef>
              <c:f>Arkusz1!$B$85:$I$85</c:f>
              <c:numCache>
                <c:formatCode>General</c:formatCode>
                <c:ptCount val="8"/>
                <c:pt idx="0">
                  <c:v>2006</c:v>
                </c:pt>
                <c:pt idx="1">
                  <c:v>2007</c:v>
                </c:pt>
                <c:pt idx="2">
                  <c:v>2008</c:v>
                </c:pt>
                <c:pt idx="3">
                  <c:v>2009</c:v>
                </c:pt>
                <c:pt idx="4">
                  <c:v>2010</c:v>
                </c:pt>
                <c:pt idx="5">
                  <c:v>2011</c:v>
                </c:pt>
                <c:pt idx="6">
                  <c:v>2012</c:v>
                </c:pt>
                <c:pt idx="7">
                  <c:v>2013</c:v>
                </c:pt>
              </c:numCache>
            </c:numRef>
          </c:cat>
          <c:val>
            <c:numRef>
              <c:f>Arkusz1!$B$87:$I$87</c:f>
              <c:numCache>
                <c:formatCode>General</c:formatCode>
                <c:ptCount val="8"/>
                <c:pt idx="0">
                  <c:v>6357</c:v>
                </c:pt>
                <c:pt idx="1">
                  <c:v>6340</c:v>
                </c:pt>
                <c:pt idx="2">
                  <c:v>6421</c:v>
                </c:pt>
                <c:pt idx="3">
                  <c:v>6346</c:v>
                </c:pt>
                <c:pt idx="4">
                  <c:v>6181</c:v>
                </c:pt>
                <c:pt idx="5">
                  <c:v>6053</c:v>
                </c:pt>
                <c:pt idx="6">
                  <c:v>6188</c:v>
                </c:pt>
                <c:pt idx="7">
                  <c:v>6263</c:v>
                </c:pt>
              </c:numCache>
            </c:numRef>
          </c:val>
        </c:ser>
        <c:ser>
          <c:idx val="2"/>
          <c:order val="2"/>
          <c:tx>
            <c:strRef>
              <c:f>Arkusz1!$A$88</c:f>
              <c:strCache>
                <c:ptCount val="1"/>
                <c:pt idx="0">
                  <c:v>m. Ełk</c:v>
                </c:pt>
              </c:strCache>
            </c:strRef>
          </c:tx>
          <c:spPr>
            <a:solidFill>
              <a:schemeClr val="accent2">
                <a:lumMod val="75000"/>
              </a:schemeClr>
            </a:solidFill>
          </c:spPr>
          <c:dLbls>
            <c:txPr>
              <a:bodyPr/>
              <a:lstStyle/>
              <a:p>
                <a:pPr>
                  <a:defRPr b="1"/>
                </a:pPr>
                <a:endParaRPr lang="pl-PL"/>
              </a:p>
            </c:txPr>
            <c:showVal val="1"/>
          </c:dLbls>
          <c:cat>
            <c:numRef>
              <c:f>Arkusz1!$B$85:$I$85</c:f>
              <c:numCache>
                <c:formatCode>General</c:formatCode>
                <c:ptCount val="8"/>
                <c:pt idx="0">
                  <c:v>2006</c:v>
                </c:pt>
                <c:pt idx="1">
                  <c:v>2007</c:v>
                </c:pt>
                <c:pt idx="2">
                  <c:v>2008</c:v>
                </c:pt>
                <c:pt idx="3">
                  <c:v>2009</c:v>
                </c:pt>
                <c:pt idx="4">
                  <c:v>2010</c:v>
                </c:pt>
                <c:pt idx="5">
                  <c:v>2011</c:v>
                </c:pt>
                <c:pt idx="6">
                  <c:v>2012</c:v>
                </c:pt>
                <c:pt idx="7">
                  <c:v>2013</c:v>
                </c:pt>
              </c:numCache>
            </c:numRef>
          </c:cat>
          <c:val>
            <c:numRef>
              <c:f>Arkusz1!$B$88:$I$88</c:f>
              <c:numCache>
                <c:formatCode>General</c:formatCode>
                <c:ptCount val="8"/>
                <c:pt idx="0">
                  <c:v>5018</c:v>
                </c:pt>
                <c:pt idx="1">
                  <c:v>5095</c:v>
                </c:pt>
                <c:pt idx="2">
                  <c:v>5256</c:v>
                </c:pt>
                <c:pt idx="3">
                  <c:v>5228</c:v>
                </c:pt>
                <c:pt idx="4">
                  <c:v>5117</c:v>
                </c:pt>
                <c:pt idx="5">
                  <c:v>4983</c:v>
                </c:pt>
                <c:pt idx="6">
                  <c:v>5071</c:v>
                </c:pt>
                <c:pt idx="7">
                  <c:v>5127</c:v>
                </c:pt>
              </c:numCache>
            </c:numRef>
          </c:val>
        </c:ser>
        <c:shape val="box"/>
        <c:axId val="65250816"/>
        <c:axId val="65428480"/>
        <c:axId val="0"/>
      </c:bar3DChart>
      <c:catAx>
        <c:axId val="65250816"/>
        <c:scaling>
          <c:orientation val="minMax"/>
        </c:scaling>
        <c:axPos val="b"/>
        <c:numFmt formatCode="General" sourceLinked="1"/>
        <c:tickLblPos val="nextTo"/>
        <c:crossAx val="65428480"/>
        <c:crosses val="autoZero"/>
        <c:auto val="1"/>
        <c:lblAlgn val="ctr"/>
        <c:lblOffset val="100"/>
      </c:catAx>
      <c:valAx>
        <c:axId val="65428480"/>
        <c:scaling>
          <c:orientation val="minMax"/>
        </c:scaling>
        <c:delete val="1"/>
        <c:axPos val="l"/>
        <c:numFmt formatCode="General" sourceLinked="1"/>
        <c:tickLblPos val="none"/>
        <c:crossAx val="65250816"/>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view3D>
      <c:rAngAx val="1"/>
    </c:view3D>
    <c:sideWall>
      <c:spPr>
        <a:noFill/>
        <a:ln w="25400">
          <a:noFill/>
        </a:ln>
      </c:spPr>
    </c:sideWall>
    <c:backWall>
      <c:spPr>
        <a:noFill/>
        <a:ln w="25400">
          <a:noFill/>
        </a:ln>
      </c:spPr>
    </c:backWall>
    <c:plotArea>
      <c:layout/>
      <c:bar3DChart>
        <c:barDir val="col"/>
        <c:grouping val="clustered"/>
        <c:ser>
          <c:idx val="0"/>
          <c:order val="0"/>
          <c:tx>
            <c:strRef>
              <c:f>Arkusz1!$A$2</c:f>
              <c:strCache>
                <c:ptCount val="1"/>
                <c:pt idx="0">
                  <c:v>Podmioty nowo powstałe</c:v>
                </c:pt>
              </c:strCache>
            </c:strRef>
          </c:tx>
          <c:dLbls>
            <c:txPr>
              <a:bodyPr/>
              <a:lstStyle/>
              <a:p>
                <a:pPr>
                  <a:defRPr b="1"/>
                </a:pPr>
                <a:endParaRPr lang="pl-PL"/>
              </a:p>
            </c:txPr>
            <c:showVal val="1"/>
          </c:dLbls>
          <c:cat>
            <c:numRef>
              <c:f>Arkusz1!$B$1:$I$1</c:f>
              <c:numCache>
                <c:formatCode>General</c:formatCode>
                <c:ptCount val="8"/>
                <c:pt idx="0">
                  <c:v>2006</c:v>
                </c:pt>
                <c:pt idx="1">
                  <c:v>2007</c:v>
                </c:pt>
                <c:pt idx="2">
                  <c:v>2008</c:v>
                </c:pt>
                <c:pt idx="3">
                  <c:v>2009</c:v>
                </c:pt>
                <c:pt idx="4">
                  <c:v>2010</c:v>
                </c:pt>
                <c:pt idx="5">
                  <c:v>2011</c:v>
                </c:pt>
                <c:pt idx="6">
                  <c:v>2012</c:v>
                </c:pt>
                <c:pt idx="7">
                  <c:v>2013</c:v>
                </c:pt>
              </c:numCache>
            </c:numRef>
          </c:cat>
          <c:val>
            <c:numRef>
              <c:f>Arkusz1!$B$2:$I$2</c:f>
              <c:numCache>
                <c:formatCode>General</c:formatCode>
                <c:ptCount val="8"/>
                <c:pt idx="0">
                  <c:v>542</c:v>
                </c:pt>
                <c:pt idx="1">
                  <c:v>494</c:v>
                </c:pt>
                <c:pt idx="2">
                  <c:v>567</c:v>
                </c:pt>
                <c:pt idx="3">
                  <c:v>600</c:v>
                </c:pt>
                <c:pt idx="4">
                  <c:v>714</c:v>
                </c:pt>
                <c:pt idx="5">
                  <c:v>625</c:v>
                </c:pt>
                <c:pt idx="6">
                  <c:v>638</c:v>
                </c:pt>
                <c:pt idx="7">
                  <c:v>597</c:v>
                </c:pt>
              </c:numCache>
            </c:numRef>
          </c:val>
        </c:ser>
        <c:ser>
          <c:idx val="1"/>
          <c:order val="1"/>
          <c:tx>
            <c:strRef>
              <c:f>Arkusz1!$A$3</c:f>
              <c:strCache>
                <c:ptCount val="1"/>
                <c:pt idx="0">
                  <c:v>Podmioty zlikwidowane</c:v>
                </c:pt>
              </c:strCache>
            </c:strRef>
          </c:tx>
          <c:dLbls>
            <c:dLbl>
              <c:idx val="2"/>
              <c:layout>
                <c:manualLayout>
                  <c:x val="1.1944755505785861E-2"/>
                  <c:y val="-5.5491848241637094E-17"/>
                </c:manualLayout>
              </c:layout>
              <c:showVal val="1"/>
            </c:dLbl>
            <c:dLbl>
              <c:idx val="3"/>
              <c:layout>
                <c:manualLayout>
                  <c:x val="1.1944755505785812E-2"/>
                  <c:y val="0"/>
                </c:manualLayout>
              </c:layout>
              <c:showVal val="1"/>
            </c:dLbl>
            <c:dLbl>
              <c:idx val="6"/>
              <c:layout>
                <c:manualLayout>
                  <c:x val="8.9585666293393075E-3"/>
                  <c:y val="0"/>
                </c:manualLayout>
              </c:layout>
              <c:showVal val="1"/>
            </c:dLbl>
            <c:dLbl>
              <c:idx val="7"/>
              <c:layout>
                <c:manualLayout>
                  <c:x val="1.3437849944008961E-2"/>
                  <c:y val="-5.5491848241637094E-17"/>
                </c:manualLayout>
              </c:layout>
              <c:showVal val="1"/>
            </c:dLbl>
            <c:txPr>
              <a:bodyPr/>
              <a:lstStyle/>
              <a:p>
                <a:pPr>
                  <a:defRPr b="1"/>
                </a:pPr>
                <a:endParaRPr lang="pl-PL"/>
              </a:p>
            </c:txPr>
            <c:showVal val="1"/>
          </c:dLbls>
          <c:cat>
            <c:numRef>
              <c:f>Arkusz1!$B$1:$I$1</c:f>
              <c:numCache>
                <c:formatCode>General</c:formatCode>
                <c:ptCount val="8"/>
                <c:pt idx="0">
                  <c:v>2006</c:v>
                </c:pt>
                <c:pt idx="1">
                  <c:v>2007</c:v>
                </c:pt>
                <c:pt idx="2">
                  <c:v>2008</c:v>
                </c:pt>
                <c:pt idx="3">
                  <c:v>2009</c:v>
                </c:pt>
                <c:pt idx="4">
                  <c:v>2010</c:v>
                </c:pt>
                <c:pt idx="5">
                  <c:v>2011</c:v>
                </c:pt>
                <c:pt idx="6">
                  <c:v>2012</c:v>
                </c:pt>
                <c:pt idx="7">
                  <c:v>2013</c:v>
                </c:pt>
              </c:numCache>
            </c:numRef>
          </c:cat>
          <c:val>
            <c:numRef>
              <c:f>Arkusz1!$B$3:$I$3</c:f>
              <c:numCache>
                <c:formatCode>General</c:formatCode>
                <c:ptCount val="8"/>
                <c:pt idx="0">
                  <c:v>638</c:v>
                </c:pt>
                <c:pt idx="1">
                  <c:v>607</c:v>
                </c:pt>
                <c:pt idx="2">
                  <c:v>554</c:v>
                </c:pt>
                <c:pt idx="3">
                  <c:v>477</c:v>
                </c:pt>
                <c:pt idx="4">
                  <c:v>841</c:v>
                </c:pt>
                <c:pt idx="5">
                  <c:v>732</c:v>
                </c:pt>
                <c:pt idx="6">
                  <c:v>500</c:v>
                </c:pt>
                <c:pt idx="7">
                  <c:v>577</c:v>
                </c:pt>
              </c:numCache>
            </c:numRef>
          </c:val>
        </c:ser>
        <c:shape val="box"/>
        <c:axId val="117005696"/>
        <c:axId val="134514176"/>
        <c:axId val="0"/>
      </c:bar3DChart>
      <c:catAx>
        <c:axId val="117005696"/>
        <c:scaling>
          <c:orientation val="minMax"/>
        </c:scaling>
        <c:axPos val="b"/>
        <c:numFmt formatCode="General" sourceLinked="1"/>
        <c:tickLblPos val="nextTo"/>
        <c:crossAx val="134514176"/>
        <c:crosses val="autoZero"/>
        <c:auto val="1"/>
        <c:lblAlgn val="ctr"/>
        <c:lblOffset val="100"/>
      </c:catAx>
      <c:valAx>
        <c:axId val="134514176"/>
        <c:scaling>
          <c:orientation val="minMax"/>
        </c:scaling>
        <c:delete val="1"/>
        <c:axPos val="l"/>
        <c:numFmt formatCode="General" sourceLinked="1"/>
        <c:tickLblPos val="none"/>
        <c:crossAx val="11700569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view3D>
      <c:rotX val="30"/>
      <c:perspective val="30"/>
    </c:view3D>
    <c:plotArea>
      <c:layout/>
      <c:pie3DChart>
        <c:varyColors val="1"/>
        <c:ser>
          <c:idx val="0"/>
          <c:order val="0"/>
          <c:explosion val="25"/>
          <c:dLbls>
            <c:txPr>
              <a:bodyPr/>
              <a:lstStyle/>
              <a:p>
                <a:pPr>
                  <a:defRPr b="1"/>
                </a:pPr>
                <a:endParaRPr lang="pl-PL"/>
              </a:p>
            </c:txPr>
            <c:showPercent val="1"/>
            <c:showLeaderLines val="1"/>
          </c:dLbls>
          <c:cat>
            <c:strRef>
              <c:f>Arkusz1!$A$37:$A$43</c:f>
              <c:strCache>
                <c:ptCount val="7"/>
                <c:pt idx="0">
                  <c:v>C</c:v>
                </c:pt>
                <c:pt idx="1">
                  <c:v>F</c:v>
                </c:pt>
                <c:pt idx="2">
                  <c:v>G</c:v>
                </c:pt>
                <c:pt idx="3">
                  <c:v>H</c:v>
                </c:pt>
                <c:pt idx="4">
                  <c:v>M</c:v>
                </c:pt>
                <c:pt idx="5">
                  <c:v>T+S</c:v>
                </c:pt>
                <c:pt idx="6">
                  <c:v>Pozostałe</c:v>
                </c:pt>
              </c:strCache>
            </c:strRef>
          </c:cat>
          <c:val>
            <c:numRef>
              <c:f>Arkusz1!$B$37:$B$43</c:f>
              <c:numCache>
                <c:formatCode>General</c:formatCode>
                <c:ptCount val="7"/>
                <c:pt idx="0">
                  <c:v>548</c:v>
                </c:pt>
                <c:pt idx="1">
                  <c:v>732</c:v>
                </c:pt>
                <c:pt idx="2">
                  <c:v>1958</c:v>
                </c:pt>
                <c:pt idx="3">
                  <c:v>599</c:v>
                </c:pt>
                <c:pt idx="4">
                  <c:v>621</c:v>
                </c:pt>
                <c:pt idx="5">
                  <c:v>548</c:v>
                </c:pt>
                <c:pt idx="6">
                  <c:v>1951</c:v>
                </c:pt>
              </c:numCache>
            </c:numRef>
          </c:val>
        </c:ser>
      </c:pie3D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view3D>
      <c:rAngAx val="1"/>
    </c:view3D>
    <c:sideWall>
      <c:spPr>
        <a:noFill/>
        <a:ln w="25400">
          <a:noFill/>
        </a:ln>
      </c:spPr>
    </c:sideWall>
    <c:backWall>
      <c:spPr>
        <a:noFill/>
        <a:ln w="25400">
          <a:noFill/>
        </a:ln>
      </c:spPr>
    </c:backWall>
    <c:plotArea>
      <c:layout>
        <c:manualLayout>
          <c:layoutTarget val="inner"/>
          <c:xMode val="edge"/>
          <c:yMode val="edge"/>
          <c:x val="2.3758099352051591E-2"/>
          <c:y val="4.3912189451707433E-2"/>
          <c:w val="0.967766746547986"/>
          <c:h val="0.782022657683902"/>
        </c:manualLayout>
      </c:layout>
      <c:bar3DChart>
        <c:barDir val="col"/>
        <c:grouping val="clustered"/>
        <c:ser>
          <c:idx val="0"/>
          <c:order val="0"/>
          <c:tx>
            <c:strRef>
              <c:f>DATA!$A$59</c:f>
              <c:strCache>
                <c:ptCount val="1"/>
                <c:pt idx="0">
                  <c:v>woj. podlaskie</c:v>
                </c:pt>
              </c:strCache>
            </c:strRef>
          </c:tx>
          <c:spPr>
            <a:solidFill>
              <a:srgbClr val="DEE587"/>
            </a:solidFill>
          </c:spPr>
          <c:dLbls>
            <c:dLbl>
              <c:idx val="2"/>
              <c:layout>
                <c:manualLayout>
                  <c:x val="-1.3857920652480383E-2"/>
                  <c:y val="-1.3275673874099059E-2"/>
                </c:manualLayout>
              </c:layout>
              <c:showVal val="1"/>
            </c:dLbl>
            <c:dLbl>
              <c:idx val="3"/>
              <c:layout>
                <c:manualLayout>
                  <c:x val="0"/>
                  <c:y val="-1.6931216931216932E-2"/>
                </c:manualLayout>
              </c:layout>
              <c:showVal val="1"/>
            </c:dLbl>
            <c:dLbl>
              <c:idx val="4"/>
              <c:layout>
                <c:manualLayout>
                  <c:x val="4.4077134986226577E-3"/>
                  <c:y val="-2.1164021164021166E-2"/>
                </c:manualLayout>
              </c:layout>
              <c:showVal val="1"/>
            </c:dLbl>
            <c:dLbl>
              <c:idx val="5"/>
              <c:layout>
                <c:manualLayout>
                  <c:x val="-4.4077134986226577E-3"/>
                  <c:y val="-2.5396825396825553E-2"/>
                </c:manualLayout>
              </c:layout>
              <c:showVal val="1"/>
            </c:dLbl>
            <c:txPr>
              <a:bodyPr/>
              <a:lstStyle/>
              <a:p>
                <a:pPr>
                  <a:defRPr sz="800" b="1"/>
                </a:pPr>
                <a:endParaRPr lang="pl-PL"/>
              </a:p>
            </c:txPr>
            <c:showVal val="1"/>
          </c:dLbls>
          <c:cat>
            <c:multiLvlStrRef>
              <c:f>DATA!$B$57:$I$58</c:f>
              <c:multiLvlStrCache>
                <c:ptCount val="8"/>
                <c:lvl>
                  <c:pt idx="0">
                    <c:v>2 012</c:v>
                  </c:pt>
                  <c:pt idx="1">
                    <c:v>2 013</c:v>
                  </c:pt>
                  <c:pt idx="2">
                    <c:v>2 012</c:v>
                  </c:pt>
                  <c:pt idx="3">
                    <c:v>2 013</c:v>
                  </c:pt>
                  <c:pt idx="4">
                    <c:v>2 012</c:v>
                  </c:pt>
                  <c:pt idx="5">
                    <c:v>2 013</c:v>
                  </c:pt>
                  <c:pt idx="6">
                    <c:v>2 012</c:v>
                  </c:pt>
                  <c:pt idx="7">
                    <c:v>2 013</c:v>
                  </c:pt>
                </c:lvl>
                <c:lvl>
                  <c:pt idx="0">
                    <c:v>0-9</c:v>
                  </c:pt>
                  <c:pt idx="2">
                    <c:v>10-49</c:v>
                  </c:pt>
                  <c:pt idx="4">
                    <c:v>50-249</c:v>
                  </c:pt>
                  <c:pt idx="6">
                    <c:v>250 i więcej</c:v>
                  </c:pt>
                </c:lvl>
              </c:multiLvlStrCache>
            </c:multiLvlStrRef>
          </c:cat>
          <c:val>
            <c:numRef>
              <c:f>DATA!$B$59:$I$59</c:f>
              <c:numCache>
                <c:formatCode>#,##0</c:formatCode>
                <c:ptCount val="8"/>
                <c:pt idx="0">
                  <c:v>90738</c:v>
                </c:pt>
                <c:pt idx="1">
                  <c:v>92645</c:v>
                </c:pt>
                <c:pt idx="2">
                  <c:v>3115</c:v>
                </c:pt>
                <c:pt idx="3">
                  <c:v>3033</c:v>
                </c:pt>
                <c:pt idx="4">
                  <c:v>768</c:v>
                </c:pt>
                <c:pt idx="5">
                  <c:v>743</c:v>
                </c:pt>
                <c:pt idx="6">
                  <c:v>100</c:v>
                </c:pt>
                <c:pt idx="7">
                  <c:v>96</c:v>
                </c:pt>
              </c:numCache>
            </c:numRef>
          </c:val>
        </c:ser>
        <c:ser>
          <c:idx val="1"/>
          <c:order val="1"/>
          <c:tx>
            <c:strRef>
              <c:f>DATA!$A$60</c:f>
              <c:strCache>
                <c:ptCount val="1"/>
                <c:pt idx="0">
                  <c:v>m. Suwałki</c:v>
                </c:pt>
              </c:strCache>
            </c:strRef>
          </c:tx>
          <c:spPr>
            <a:solidFill>
              <a:srgbClr val="69A010"/>
            </a:solidFill>
          </c:spPr>
          <c:dLbls>
            <c:dLbl>
              <c:idx val="0"/>
              <c:layout>
                <c:manualLayout>
                  <c:x val="-1.4492753623188409E-2"/>
                  <c:y val="-2.0202024792815732E-2"/>
                </c:manualLayout>
              </c:layout>
              <c:showVal val="1"/>
            </c:dLbl>
            <c:dLbl>
              <c:idx val="1"/>
              <c:layout>
                <c:manualLayout>
                  <c:x val="0"/>
                  <c:y val="-2.9139078925604748E-2"/>
                </c:manualLayout>
              </c:layout>
              <c:showVal val="1"/>
            </c:dLbl>
            <c:dLbl>
              <c:idx val="2"/>
              <c:layout>
                <c:manualLayout>
                  <c:x val="7.6387063187349936E-3"/>
                  <c:y val="-4.6945798441861405E-2"/>
                </c:manualLayout>
              </c:layout>
              <c:showVal val="1"/>
            </c:dLbl>
            <c:dLbl>
              <c:idx val="6"/>
              <c:layout>
                <c:manualLayout>
                  <c:x val="1.322314049586777E-2"/>
                  <c:y val="-8.4656084656084766E-3"/>
                </c:manualLayout>
              </c:layout>
              <c:showVal val="1"/>
            </c:dLbl>
            <c:dLbl>
              <c:idx val="7"/>
              <c:layout>
                <c:manualLayout>
                  <c:x val="6.6115702479337228E-3"/>
                  <c:y val="0"/>
                </c:manualLayout>
              </c:layout>
              <c:showVal val="1"/>
            </c:dLbl>
            <c:txPr>
              <a:bodyPr/>
              <a:lstStyle/>
              <a:p>
                <a:pPr>
                  <a:defRPr sz="800" b="1"/>
                </a:pPr>
                <a:endParaRPr lang="pl-PL"/>
              </a:p>
            </c:txPr>
            <c:showVal val="1"/>
          </c:dLbls>
          <c:cat>
            <c:multiLvlStrRef>
              <c:f>DATA!$B$57:$I$58</c:f>
              <c:multiLvlStrCache>
                <c:ptCount val="8"/>
                <c:lvl>
                  <c:pt idx="0">
                    <c:v>2 012</c:v>
                  </c:pt>
                  <c:pt idx="1">
                    <c:v>2 013</c:v>
                  </c:pt>
                  <c:pt idx="2">
                    <c:v>2 012</c:v>
                  </c:pt>
                  <c:pt idx="3">
                    <c:v>2 013</c:v>
                  </c:pt>
                  <c:pt idx="4">
                    <c:v>2 012</c:v>
                  </c:pt>
                  <c:pt idx="5">
                    <c:v>2 013</c:v>
                  </c:pt>
                  <c:pt idx="6">
                    <c:v>2 012</c:v>
                  </c:pt>
                  <c:pt idx="7">
                    <c:v>2 013</c:v>
                  </c:pt>
                </c:lvl>
                <c:lvl>
                  <c:pt idx="0">
                    <c:v>0-9</c:v>
                  </c:pt>
                  <c:pt idx="2">
                    <c:v>10-49</c:v>
                  </c:pt>
                  <c:pt idx="4">
                    <c:v>50-249</c:v>
                  </c:pt>
                  <c:pt idx="6">
                    <c:v>250 i więcej</c:v>
                  </c:pt>
                </c:lvl>
              </c:multiLvlStrCache>
            </c:multiLvlStrRef>
          </c:cat>
          <c:val>
            <c:numRef>
              <c:f>DATA!$B$60:$I$60</c:f>
              <c:numCache>
                <c:formatCode>#,##0</c:formatCode>
                <c:ptCount val="8"/>
                <c:pt idx="0">
                  <c:v>6684</c:v>
                </c:pt>
                <c:pt idx="1">
                  <c:v>6699</c:v>
                </c:pt>
                <c:pt idx="2">
                  <c:v>194</c:v>
                </c:pt>
                <c:pt idx="3">
                  <c:v>191</c:v>
                </c:pt>
                <c:pt idx="4">
                  <c:v>64</c:v>
                </c:pt>
                <c:pt idx="5">
                  <c:v>62</c:v>
                </c:pt>
                <c:pt idx="6">
                  <c:v>5</c:v>
                </c:pt>
                <c:pt idx="7">
                  <c:v>5</c:v>
                </c:pt>
              </c:numCache>
            </c:numRef>
          </c:val>
        </c:ser>
        <c:ser>
          <c:idx val="2"/>
          <c:order val="2"/>
          <c:tx>
            <c:strRef>
              <c:f>DATA!$A$61</c:f>
              <c:strCache>
                <c:ptCount val="1"/>
                <c:pt idx="0">
                  <c:v>m. Łomża</c:v>
                </c:pt>
              </c:strCache>
            </c:strRef>
          </c:tx>
          <c:spPr>
            <a:solidFill>
              <a:srgbClr val="7030A0"/>
            </a:solidFill>
          </c:spPr>
          <c:dLbls>
            <c:dLbl>
              <c:idx val="3"/>
              <c:layout>
                <c:manualLayout>
                  <c:x val="8.8154269972453812E-3"/>
                  <c:y val="8.4656084656084766E-3"/>
                </c:manualLayout>
              </c:layout>
              <c:showVal val="1"/>
            </c:dLbl>
            <c:dLbl>
              <c:idx val="4"/>
              <c:layout>
                <c:manualLayout>
                  <c:x val="6.6115702479338035E-3"/>
                  <c:y val="-1.2698412698412705E-2"/>
                </c:manualLayout>
              </c:layout>
              <c:showVal val="1"/>
            </c:dLbl>
            <c:dLbl>
              <c:idx val="5"/>
              <c:layout>
                <c:manualLayout>
                  <c:x val="4.4077134986225648E-3"/>
                  <c:y val="-2.9629629629629856E-2"/>
                </c:manualLayout>
              </c:layout>
              <c:showVal val="1"/>
            </c:dLbl>
            <c:dLbl>
              <c:idx val="6"/>
              <c:layout>
                <c:manualLayout>
                  <c:x val="8.8154269972453812E-3"/>
                  <c:y val="0"/>
                </c:manualLayout>
              </c:layout>
              <c:showVal val="1"/>
            </c:dLbl>
            <c:dLbl>
              <c:idx val="7"/>
              <c:layout>
                <c:manualLayout>
                  <c:x val="1.3223140495867933E-2"/>
                  <c:y val="-8.4656084656087281E-3"/>
                </c:manualLayout>
              </c:layout>
              <c:showVal val="1"/>
            </c:dLbl>
            <c:txPr>
              <a:bodyPr/>
              <a:lstStyle/>
              <a:p>
                <a:pPr>
                  <a:defRPr sz="800" b="1"/>
                </a:pPr>
                <a:endParaRPr lang="pl-PL"/>
              </a:p>
            </c:txPr>
            <c:showVal val="1"/>
          </c:dLbls>
          <c:cat>
            <c:multiLvlStrRef>
              <c:f>DATA!$B$57:$I$58</c:f>
              <c:multiLvlStrCache>
                <c:ptCount val="8"/>
                <c:lvl>
                  <c:pt idx="0">
                    <c:v>2 012</c:v>
                  </c:pt>
                  <c:pt idx="1">
                    <c:v>2 013</c:v>
                  </c:pt>
                  <c:pt idx="2">
                    <c:v>2 012</c:v>
                  </c:pt>
                  <c:pt idx="3">
                    <c:v>2 013</c:v>
                  </c:pt>
                  <c:pt idx="4">
                    <c:v>2 012</c:v>
                  </c:pt>
                  <c:pt idx="5">
                    <c:v>2 013</c:v>
                  </c:pt>
                  <c:pt idx="6">
                    <c:v>2 012</c:v>
                  </c:pt>
                  <c:pt idx="7">
                    <c:v>2 013</c:v>
                  </c:pt>
                </c:lvl>
                <c:lvl>
                  <c:pt idx="0">
                    <c:v>0-9</c:v>
                  </c:pt>
                  <c:pt idx="2">
                    <c:v>10-49</c:v>
                  </c:pt>
                  <c:pt idx="4">
                    <c:v>50-249</c:v>
                  </c:pt>
                  <c:pt idx="6">
                    <c:v>250 i więcej</c:v>
                  </c:pt>
                </c:lvl>
              </c:multiLvlStrCache>
            </c:multiLvlStrRef>
          </c:cat>
          <c:val>
            <c:numRef>
              <c:f>DATA!$B$61:$I$61</c:f>
              <c:numCache>
                <c:formatCode>#,##0</c:formatCode>
                <c:ptCount val="8"/>
                <c:pt idx="0">
                  <c:v>5933</c:v>
                </c:pt>
                <c:pt idx="1">
                  <c:v>6001</c:v>
                </c:pt>
                <c:pt idx="2">
                  <c:v>182</c:v>
                </c:pt>
                <c:pt idx="3">
                  <c:v>190</c:v>
                </c:pt>
                <c:pt idx="4">
                  <c:v>70</c:v>
                </c:pt>
                <c:pt idx="5">
                  <c:v>69</c:v>
                </c:pt>
                <c:pt idx="6">
                  <c:v>3</c:v>
                </c:pt>
                <c:pt idx="7">
                  <c:v>3</c:v>
                </c:pt>
              </c:numCache>
            </c:numRef>
          </c:val>
        </c:ser>
        <c:ser>
          <c:idx val="3"/>
          <c:order val="3"/>
          <c:tx>
            <c:strRef>
              <c:f>DATA!$A$62</c:f>
              <c:strCache>
                <c:ptCount val="1"/>
                <c:pt idx="0">
                  <c:v>m. Białystok</c:v>
                </c:pt>
              </c:strCache>
            </c:strRef>
          </c:tx>
          <c:spPr>
            <a:solidFill>
              <a:schemeClr val="accent1">
                <a:lumMod val="60000"/>
                <a:lumOff val="40000"/>
              </a:schemeClr>
            </a:solidFill>
          </c:spPr>
          <c:dLbls>
            <c:dLbl>
              <c:idx val="2"/>
              <c:layout>
                <c:manualLayout>
                  <c:x val="1.0491225786859329E-2"/>
                  <c:y val="1.3735616381285672E-2"/>
                </c:manualLayout>
              </c:layout>
              <c:showVal val="1"/>
            </c:dLbl>
            <c:dLbl>
              <c:idx val="3"/>
              <c:layout>
                <c:manualLayout>
                  <c:x val="1.3223140495867846E-2"/>
                  <c:y val="-1.6931216931217085E-2"/>
                </c:manualLayout>
              </c:layout>
              <c:showVal val="1"/>
            </c:dLbl>
            <c:dLbl>
              <c:idx val="4"/>
              <c:layout>
                <c:manualLayout>
                  <c:x val="1.3223140495867846E-2"/>
                  <c:y val="0"/>
                </c:manualLayout>
              </c:layout>
              <c:showVal val="1"/>
            </c:dLbl>
            <c:dLbl>
              <c:idx val="5"/>
              <c:layout>
                <c:manualLayout>
                  <c:x val="1.7630853994490197E-2"/>
                  <c:y val="-1.2698412698412705E-2"/>
                </c:manualLayout>
              </c:layout>
              <c:showVal val="1"/>
            </c:dLbl>
            <c:dLbl>
              <c:idx val="6"/>
              <c:layout>
                <c:manualLayout>
                  <c:x val="1.3223140495867933E-2"/>
                  <c:y val="-1.2698412698412705E-2"/>
                </c:manualLayout>
              </c:layout>
              <c:showVal val="1"/>
            </c:dLbl>
            <c:dLbl>
              <c:idx val="7"/>
              <c:layout>
                <c:manualLayout>
                  <c:x val="3.0853994490358156E-2"/>
                  <c:y val="-1.6931216931216932E-2"/>
                </c:manualLayout>
              </c:layout>
              <c:showVal val="1"/>
            </c:dLbl>
            <c:txPr>
              <a:bodyPr/>
              <a:lstStyle/>
              <a:p>
                <a:pPr>
                  <a:defRPr sz="800" b="1"/>
                </a:pPr>
                <a:endParaRPr lang="pl-PL"/>
              </a:p>
            </c:txPr>
            <c:showVal val="1"/>
          </c:dLbls>
          <c:cat>
            <c:multiLvlStrRef>
              <c:f>DATA!$B$57:$I$58</c:f>
              <c:multiLvlStrCache>
                <c:ptCount val="8"/>
                <c:lvl>
                  <c:pt idx="0">
                    <c:v>2 012</c:v>
                  </c:pt>
                  <c:pt idx="1">
                    <c:v>2 013</c:v>
                  </c:pt>
                  <c:pt idx="2">
                    <c:v>2 012</c:v>
                  </c:pt>
                  <c:pt idx="3">
                    <c:v>2 013</c:v>
                  </c:pt>
                  <c:pt idx="4">
                    <c:v>2 012</c:v>
                  </c:pt>
                  <c:pt idx="5">
                    <c:v>2 013</c:v>
                  </c:pt>
                  <c:pt idx="6">
                    <c:v>2 012</c:v>
                  </c:pt>
                  <c:pt idx="7">
                    <c:v>2 013</c:v>
                  </c:pt>
                </c:lvl>
                <c:lvl>
                  <c:pt idx="0">
                    <c:v>0-9</c:v>
                  </c:pt>
                  <c:pt idx="2">
                    <c:v>10-49</c:v>
                  </c:pt>
                  <c:pt idx="4">
                    <c:v>50-249</c:v>
                  </c:pt>
                  <c:pt idx="6">
                    <c:v>250 i więcej</c:v>
                  </c:pt>
                </c:lvl>
              </c:multiLvlStrCache>
            </c:multiLvlStrRef>
          </c:cat>
          <c:val>
            <c:numRef>
              <c:f>DATA!$B$62:$I$62</c:f>
              <c:numCache>
                <c:formatCode>#,##0</c:formatCode>
                <c:ptCount val="8"/>
                <c:pt idx="0">
                  <c:v>31082</c:v>
                </c:pt>
                <c:pt idx="1">
                  <c:v>31797</c:v>
                </c:pt>
                <c:pt idx="2">
                  <c:v>985</c:v>
                </c:pt>
                <c:pt idx="3">
                  <c:v>961</c:v>
                </c:pt>
                <c:pt idx="4">
                  <c:v>288</c:v>
                </c:pt>
                <c:pt idx="5">
                  <c:v>274</c:v>
                </c:pt>
                <c:pt idx="6">
                  <c:v>55</c:v>
                </c:pt>
                <c:pt idx="7">
                  <c:v>53</c:v>
                </c:pt>
              </c:numCache>
            </c:numRef>
          </c:val>
        </c:ser>
        <c:shape val="box"/>
        <c:axId val="82467840"/>
        <c:axId val="82486016"/>
        <c:axId val="0"/>
      </c:bar3DChart>
      <c:catAx>
        <c:axId val="82467840"/>
        <c:scaling>
          <c:orientation val="minMax"/>
        </c:scaling>
        <c:axPos val="b"/>
        <c:tickLblPos val="nextTo"/>
        <c:crossAx val="82486016"/>
        <c:crosses val="autoZero"/>
        <c:auto val="1"/>
        <c:lblAlgn val="ctr"/>
        <c:lblOffset val="100"/>
      </c:catAx>
      <c:valAx>
        <c:axId val="82486016"/>
        <c:scaling>
          <c:orientation val="minMax"/>
        </c:scaling>
        <c:delete val="1"/>
        <c:axPos val="l"/>
        <c:numFmt formatCode="#,##0" sourceLinked="1"/>
        <c:tickLblPos val="none"/>
        <c:crossAx val="82467840"/>
        <c:crosses val="autoZero"/>
        <c:crossBetween val="between"/>
      </c:valAx>
    </c:plotArea>
    <c:legend>
      <c:legendPos val="r"/>
      <c:layout>
        <c:manualLayout>
          <c:xMode val="edge"/>
          <c:yMode val="edge"/>
          <c:x val="0.74385369341523089"/>
          <c:y val="0.11142781042433098"/>
          <c:w val="0.18321164715521812"/>
          <c:h val="0.36923456041879305"/>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manualLayout>
          <c:layoutTarget val="inner"/>
          <c:xMode val="edge"/>
          <c:yMode val="edge"/>
          <c:x val="3.7898363479759237E-2"/>
          <c:y val="5.3333333333333975E-2"/>
          <c:w val="0.92386823740056223"/>
          <c:h val="0.76602815557146264"/>
        </c:manualLayout>
      </c:layout>
      <c:bar3DChart>
        <c:barDir val="col"/>
        <c:grouping val="clustered"/>
        <c:ser>
          <c:idx val="0"/>
          <c:order val="0"/>
          <c:tx>
            <c:strRef>
              <c:f>DATA!$A$30</c:f>
              <c:strCache>
                <c:ptCount val="1"/>
                <c:pt idx="0">
                  <c:v>Polska</c:v>
                </c:pt>
              </c:strCache>
            </c:strRef>
          </c:tx>
          <c:spPr>
            <a:solidFill>
              <a:srgbClr val="FF5D5D"/>
            </a:solidFill>
          </c:spPr>
          <c:dLbls>
            <c:dLbl>
              <c:idx val="0"/>
              <c:layout>
                <c:manualLayout>
                  <c:x val="-1.6260162601626025E-2"/>
                  <c:y val="-1.9971464842920741E-2"/>
                </c:manualLayout>
              </c:layout>
              <c:showVal val="1"/>
            </c:dLbl>
            <c:dLbl>
              <c:idx val="1"/>
              <c:layout>
                <c:manualLayout>
                  <c:x val="-1.3008130081300842E-2"/>
                  <c:y val="-2.8530664061315318E-2"/>
                </c:manualLayout>
              </c:layout>
              <c:showVal val="1"/>
            </c:dLbl>
            <c:dLbl>
              <c:idx val="2"/>
              <c:layout>
                <c:manualLayout>
                  <c:x val="0"/>
                  <c:y val="-3.9942929685841552E-2"/>
                </c:manualLayout>
              </c:layout>
              <c:showVal val="1"/>
            </c:dLbl>
            <c:dLbl>
              <c:idx val="3"/>
              <c:layout>
                <c:manualLayout>
                  <c:x val="-4.8780487804878838E-3"/>
                  <c:y val="-2.2824531249052357E-2"/>
                </c:manualLayout>
              </c:layout>
              <c:showVal val="1"/>
            </c:dLbl>
            <c:txPr>
              <a:bodyPr/>
              <a:lstStyle/>
              <a:p>
                <a:pPr>
                  <a:defRPr sz="900" b="1"/>
                </a:pPr>
                <a:endParaRPr lang="pl-PL"/>
              </a:p>
            </c:txPr>
            <c:showVal val="1"/>
          </c:dLbls>
          <c:cat>
            <c:strRef>
              <c:f>DATA!$B$29:$E$29</c:f>
              <c:strCache>
                <c:ptCount val="4"/>
                <c:pt idx="0">
                  <c:v>0-9</c:v>
                </c:pt>
                <c:pt idx="1">
                  <c:v>10-49</c:v>
                </c:pt>
                <c:pt idx="2">
                  <c:v>50-249</c:v>
                </c:pt>
                <c:pt idx="3">
                  <c:v>250 i więcej</c:v>
                </c:pt>
              </c:strCache>
            </c:strRef>
          </c:cat>
          <c:val>
            <c:numRef>
              <c:f>DATA!$B$30:$E$30</c:f>
              <c:numCache>
                <c:formatCode>#,##0</c:formatCode>
                <c:ptCount val="4"/>
                <c:pt idx="0">
                  <c:v>1542.1</c:v>
                </c:pt>
                <c:pt idx="1">
                  <c:v>59.5</c:v>
                </c:pt>
                <c:pt idx="2">
                  <c:v>12.1</c:v>
                </c:pt>
                <c:pt idx="3">
                  <c:v>1.9000000000000001</c:v>
                </c:pt>
              </c:numCache>
            </c:numRef>
          </c:val>
        </c:ser>
        <c:ser>
          <c:idx val="1"/>
          <c:order val="1"/>
          <c:tx>
            <c:strRef>
              <c:f>DATA!$A$31</c:f>
              <c:strCache>
                <c:ptCount val="1"/>
                <c:pt idx="0">
                  <c:v>woj. podlaskie</c:v>
                </c:pt>
              </c:strCache>
            </c:strRef>
          </c:tx>
          <c:spPr>
            <a:solidFill>
              <a:srgbClr val="DEE587"/>
            </a:solidFill>
          </c:spPr>
          <c:dLbls>
            <c:dLbl>
              <c:idx val="1"/>
              <c:layout>
                <c:manualLayout>
                  <c:x val="4.8780487804878075E-3"/>
                  <c:y val="-1.9971464842920741E-2"/>
                </c:manualLayout>
              </c:layout>
              <c:showVal val="1"/>
            </c:dLbl>
            <c:dLbl>
              <c:idx val="2"/>
              <c:layout>
                <c:manualLayout>
                  <c:x val="6.5040650406504074E-3"/>
                  <c:y val="-1.141226562452634E-2"/>
                </c:manualLayout>
              </c:layout>
              <c:showVal val="1"/>
            </c:dLbl>
            <c:dLbl>
              <c:idx val="3"/>
              <c:layout>
                <c:manualLayout>
                  <c:x val="4.8780487804878838E-3"/>
                  <c:y val="-1.7118398436789296E-2"/>
                </c:manualLayout>
              </c:layout>
              <c:showVal val="1"/>
            </c:dLbl>
            <c:txPr>
              <a:bodyPr/>
              <a:lstStyle/>
              <a:p>
                <a:pPr>
                  <a:defRPr sz="900" b="1"/>
                </a:pPr>
                <a:endParaRPr lang="pl-PL"/>
              </a:p>
            </c:txPr>
            <c:showVal val="1"/>
          </c:dLbls>
          <c:cat>
            <c:strRef>
              <c:f>DATA!$B$29:$E$29</c:f>
              <c:strCache>
                <c:ptCount val="4"/>
                <c:pt idx="0">
                  <c:v>0-9</c:v>
                </c:pt>
                <c:pt idx="1">
                  <c:v>10-49</c:v>
                </c:pt>
                <c:pt idx="2">
                  <c:v>50-249</c:v>
                </c:pt>
                <c:pt idx="3">
                  <c:v>250 i więcej</c:v>
                </c:pt>
              </c:strCache>
            </c:strRef>
          </c:cat>
          <c:val>
            <c:numRef>
              <c:f>DATA!$B$31:$E$31</c:f>
              <c:numCache>
                <c:formatCode>#,##0</c:formatCode>
                <c:ptCount val="4"/>
                <c:pt idx="0">
                  <c:v>1188.8</c:v>
                </c:pt>
                <c:pt idx="1">
                  <c:v>40.800000000000004</c:v>
                </c:pt>
                <c:pt idx="2">
                  <c:v>10.1</c:v>
                </c:pt>
                <c:pt idx="3">
                  <c:v>1.3</c:v>
                </c:pt>
              </c:numCache>
            </c:numRef>
          </c:val>
        </c:ser>
        <c:ser>
          <c:idx val="2"/>
          <c:order val="2"/>
          <c:tx>
            <c:strRef>
              <c:f>DATA!$A$32</c:f>
              <c:strCache>
                <c:ptCount val="1"/>
                <c:pt idx="0">
                  <c:v>m. Suwałki</c:v>
                </c:pt>
              </c:strCache>
            </c:strRef>
          </c:tx>
          <c:spPr>
            <a:solidFill>
              <a:srgbClr val="69A010"/>
            </a:solidFill>
          </c:spPr>
          <c:dLbls>
            <c:dLbl>
              <c:idx val="0"/>
              <c:layout>
                <c:manualLayout>
                  <c:x val="-9.4224623595692706E-4"/>
                  <c:y val="-1.7118398436789192E-2"/>
                </c:manualLayout>
              </c:layout>
              <c:showVal val="1"/>
            </c:dLbl>
            <c:dLbl>
              <c:idx val="1"/>
              <c:layout>
                <c:manualLayout>
                  <c:x val="1.3008130081300823E-2"/>
                  <c:y val="-3.1383730467447052E-2"/>
                </c:manualLayout>
              </c:layout>
              <c:showVal val="1"/>
            </c:dLbl>
            <c:dLbl>
              <c:idx val="2"/>
              <c:layout>
                <c:manualLayout>
                  <c:x val="1.6260162601626143E-2"/>
                  <c:y val="-2.2824531249052198E-2"/>
                </c:manualLayout>
              </c:layout>
              <c:showVal val="1"/>
            </c:dLbl>
            <c:dLbl>
              <c:idx val="3"/>
              <c:layout>
                <c:manualLayout>
                  <c:x val="1.3008130081300823E-2"/>
                  <c:y val="-1.7118398436789192E-2"/>
                </c:manualLayout>
              </c:layout>
              <c:showVal val="1"/>
            </c:dLbl>
            <c:txPr>
              <a:bodyPr/>
              <a:lstStyle/>
              <a:p>
                <a:pPr>
                  <a:defRPr sz="900" b="1"/>
                </a:pPr>
                <a:endParaRPr lang="pl-PL"/>
              </a:p>
            </c:txPr>
            <c:showVal val="1"/>
          </c:dLbls>
          <c:cat>
            <c:strRef>
              <c:f>DATA!$B$29:$E$29</c:f>
              <c:strCache>
                <c:ptCount val="4"/>
                <c:pt idx="0">
                  <c:v>0-9</c:v>
                </c:pt>
                <c:pt idx="1">
                  <c:v>10-49</c:v>
                </c:pt>
                <c:pt idx="2">
                  <c:v>50-249</c:v>
                </c:pt>
                <c:pt idx="3">
                  <c:v>250 i więcej</c:v>
                </c:pt>
              </c:strCache>
            </c:strRef>
          </c:cat>
          <c:val>
            <c:numRef>
              <c:f>DATA!$B$32:$E$32</c:f>
              <c:numCache>
                <c:formatCode>#,##0</c:formatCode>
                <c:ptCount val="4"/>
                <c:pt idx="0">
                  <c:v>1455.9</c:v>
                </c:pt>
                <c:pt idx="1">
                  <c:v>42.3</c:v>
                </c:pt>
                <c:pt idx="2">
                  <c:v>13.9</c:v>
                </c:pt>
                <c:pt idx="3">
                  <c:v>1.1000000000000001</c:v>
                </c:pt>
              </c:numCache>
            </c:numRef>
          </c:val>
        </c:ser>
        <c:ser>
          <c:idx val="3"/>
          <c:order val="3"/>
          <c:tx>
            <c:strRef>
              <c:f>DATA!$A$33</c:f>
              <c:strCache>
                <c:ptCount val="1"/>
                <c:pt idx="0">
                  <c:v>m. Łomża</c:v>
                </c:pt>
              </c:strCache>
            </c:strRef>
          </c:tx>
          <c:spPr>
            <a:solidFill>
              <a:srgbClr val="7030A0"/>
            </a:solidFill>
          </c:spPr>
          <c:dLbls>
            <c:dLbl>
              <c:idx val="0"/>
              <c:layout>
                <c:manualLayout>
                  <c:x val="1.1382113821138221E-2"/>
                  <c:y val="1.4265107379759565E-2"/>
                </c:manualLayout>
              </c:layout>
              <c:showVal val="1"/>
            </c:dLbl>
            <c:dLbl>
              <c:idx val="1"/>
              <c:layout>
                <c:manualLayout>
                  <c:x val="1.1382113821138221E-2"/>
                  <c:y val="-2.8530664061315316E-3"/>
                </c:manualLayout>
              </c:layout>
              <c:showVal val="1"/>
            </c:dLbl>
            <c:dLbl>
              <c:idx val="2"/>
              <c:layout>
                <c:manualLayout>
                  <c:x val="1.9512067089174828E-2"/>
                  <c:y val="-5.7063574631612476E-3"/>
                </c:manualLayout>
              </c:layout>
              <c:showVal val="1"/>
            </c:dLbl>
            <c:dLbl>
              <c:idx val="3"/>
              <c:layout>
                <c:manualLayout>
                  <c:x val="2.2764227642276442E-2"/>
                  <c:y val="-8.5591992183948491E-3"/>
                </c:manualLayout>
              </c:layout>
              <c:showVal val="1"/>
            </c:dLbl>
            <c:txPr>
              <a:bodyPr/>
              <a:lstStyle/>
              <a:p>
                <a:pPr>
                  <a:defRPr sz="900" b="1"/>
                </a:pPr>
                <a:endParaRPr lang="pl-PL"/>
              </a:p>
            </c:txPr>
            <c:showVal val="1"/>
          </c:dLbls>
          <c:cat>
            <c:strRef>
              <c:f>DATA!$B$29:$E$29</c:f>
              <c:strCache>
                <c:ptCount val="4"/>
                <c:pt idx="0">
                  <c:v>0-9</c:v>
                </c:pt>
                <c:pt idx="1">
                  <c:v>10-49</c:v>
                </c:pt>
                <c:pt idx="2">
                  <c:v>50-249</c:v>
                </c:pt>
                <c:pt idx="3">
                  <c:v>250 i więcej</c:v>
                </c:pt>
              </c:strCache>
            </c:strRef>
          </c:cat>
          <c:val>
            <c:numRef>
              <c:f>DATA!$B$33:$E$33</c:f>
              <c:numCache>
                <c:formatCode>#,##0</c:formatCode>
                <c:ptCount val="4"/>
                <c:pt idx="0">
                  <c:v>1402.2</c:v>
                </c:pt>
                <c:pt idx="1">
                  <c:v>43</c:v>
                </c:pt>
                <c:pt idx="2">
                  <c:v>16.5</c:v>
                </c:pt>
                <c:pt idx="3">
                  <c:v>0.70000000000000062</c:v>
                </c:pt>
              </c:numCache>
            </c:numRef>
          </c:val>
        </c:ser>
        <c:ser>
          <c:idx val="4"/>
          <c:order val="4"/>
          <c:tx>
            <c:strRef>
              <c:f>DATA!$A$34</c:f>
              <c:strCache>
                <c:ptCount val="1"/>
                <c:pt idx="0">
                  <c:v>m. Białystok</c:v>
                </c:pt>
              </c:strCache>
            </c:strRef>
          </c:tx>
          <c:spPr>
            <a:solidFill>
              <a:schemeClr val="accent1">
                <a:lumMod val="60000"/>
                <a:lumOff val="40000"/>
              </a:schemeClr>
            </a:solidFill>
          </c:spPr>
          <c:dLbls>
            <c:dLbl>
              <c:idx val="0"/>
              <c:layout>
                <c:manualLayout>
                  <c:x val="3.3680361084571682E-2"/>
                  <c:y val="-1.1412265624526127E-2"/>
                </c:manualLayout>
              </c:layout>
              <c:showVal val="1"/>
            </c:dLbl>
            <c:dLbl>
              <c:idx val="1"/>
              <c:layout>
                <c:manualLayout>
                  <c:x val="2.7642276422764754E-2"/>
                  <c:y val="2.8530664061313252E-3"/>
                </c:manualLayout>
              </c:layout>
              <c:showVal val="1"/>
            </c:dLbl>
            <c:dLbl>
              <c:idx val="2"/>
              <c:layout>
                <c:manualLayout>
                  <c:x val="2.9268292682927053E-2"/>
                  <c:y val="-2.8530664061315316E-3"/>
                </c:manualLayout>
              </c:layout>
              <c:showVal val="1"/>
            </c:dLbl>
            <c:dLbl>
              <c:idx val="3"/>
              <c:layout>
                <c:manualLayout>
                  <c:x val="4.7858696010279103E-2"/>
                  <c:y val="-1.1412265624526239E-2"/>
                </c:manualLayout>
              </c:layout>
              <c:showVal val="1"/>
            </c:dLbl>
            <c:txPr>
              <a:bodyPr/>
              <a:lstStyle/>
              <a:p>
                <a:pPr>
                  <a:defRPr sz="900" b="1"/>
                </a:pPr>
                <a:endParaRPr lang="pl-PL"/>
              </a:p>
            </c:txPr>
            <c:showVal val="1"/>
          </c:dLbls>
          <c:cat>
            <c:strRef>
              <c:f>DATA!$B$29:$E$29</c:f>
              <c:strCache>
                <c:ptCount val="4"/>
                <c:pt idx="0">
                  <c:v>0-9</c:v>
                </c:pt>
                <c:pt idx="1">
                  <c:v>10-49</c:v>
                </c:pt>
                <c:pt idx="2">
                  <c:v>50-249</c:v>
                </c:pt>
                <c:pt idx="3">
                  <c:v>250 i więcej</c:v>
                </c:pt>
              </c:strCache>
            </c:strRef>
          </c:cat>
          <c:val>
            <c:numRef>
              <c:f>DATA!$B$34:$E$34</c:f>
              <c:numCache>
                <c:formatCode>#,##0</c:formatCode>
                <c:ptCount val="4"/>
                <c:pt idx="0">
                  <c:v>1606.1</c:v>
                </c:pt>
                <c:pt idx="1">
                  <c:v>50.9</c:v>
                </c:pt>
                <c:pt idx="2">
                  <c:v>14.9</c:v>
                </c:pt>
                <c:pt idx="3">
                  <c:v>2.8</c:v>
                </c:pt>
              </c:numCache>
            </c:numRef>
          </c:val>
        </c:ser>
        <c:shape val="box"/>
        <c:axId val="109540864"/>
        <c:axId val="109542400"/>
        <c:axId val="0"/>
      </c:bar3DChart>
      <c:catAx>
        <c:axId val="109540864"/>
        <c:scaling>
          <c:orientation val="minMax"/>
        </c:scaling>
        <c:axPos val="b"/>
        <c:tickLblPos val="nextTo"/>
        <c:crossAx val="109542400"/>
        <c:crosses val="autoZero"/>
        <c:auto val="1"/>
        <c:lblAlgn val="ctr"/>
        <c:lblOffset val="100"/>
      </c:catAx>
      <c:valAx>
        <c:axId val="109542400"/>
        <c:scaling>
          <c:orientation val="minMax"/>
        </c:scaling>
        <c:delete val="1"/>
        <c:axPos val="l"/>
        <c:numFmt formatCode="#,##0" sourceLinked="1"/>
        <c:tickLblPos val="none"/>
        <c:crossAx val="109540864"/>
        <c:crosses val="autoZero"/>
        <c:crossBetween val="between"/>
      </c:valAx>
    </c:plotArea>
    <c:legend>
      <c:legendPos val="r"/>
      <c:layout>
        <c:manualLayout>
          <c:xMode val="edge"/>
          <c:yMode val="edge"/>
          <c:x val="0.33076960414195006"/>
          <c:y val="3.631515151515155E-2"/>
          <c:w val="0.65227717254521689"/>
          <c:h val="0.31404705320926041"/>
        </c:manualLayout>
      </c:layout>
      <c:txPr>
        <a:bodyPr/>
        <a:lstStyle/>
        <a:p>
          <a:pPr>
            <a:defRPr sz="900"/>
          </a:pPr>
          <a:endParaRPr lang="pl-PL"/>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dLbl>
              <c:idx val="1"/>
              <c:layout>
                <c:manualLayout>
                  <c:x val="-1.001177921299241E-2"/>
                  <c:y val="0"/>
                </c:manualLayout>
              </c:layout>
              <c:showVal val="1"/>
            </c:dLbl>
            <c:dLbl>
              <c:idx val="2"/>
              <c:layout>
                <c:manualLayout>
                  <c:x val="1.001177921299241E-2"/>
                  <c:y val="-1.133711276767191E-2"/>
                </c:manualLayout>
              </c:layout>
              <c:showVal val="1"/>
            </c:dLbl>
            <c:dLbl>
              <c:idx val="3"/>
              <c:layout>
                <c:manualLayout>
                  <c:x val="2.0023558425984011E-3"/>
                  <c:y val="-2.6453263124568225E-2"/>
                </c:manualLayout>
              </c:layout>
              <c:showVal val="1"/>
            </c:dLbl>
            <c:dLbl>
              <c:idx val="4"/>
              <c:layout>
                <c:manualLayout>
                  <c:x val="1.001177921299241E-2"/>
                  <c:y val="-5.6685861400374245E-2"/>
                </c:manualLayout>
              </c:layout>
              <c:showVal val="1"/>
            </c:dLbl>
            <c:dLbl>
              <c:idx val="5"/>
              <c:layout>
                <c:manualLayout>
                  <c:x val="1.001177921299241E-2"/>
                  <c:y val="-3.7790375892240184E-3"/>
                </c:manualLayout>
              </c:layout>
              <c:showVal val="1"/>
            </c:dLbl>
            <c:dLbl>
              <c:idx val="9"/>
              <c:layout>
                <c:manualLayout>
                  <c:x val="1.2014135055590602E-2"/>
                  <c:y val="-7.5580751784479578E-3"/>
                </c:manualLayout>
              </c:layout>
              <c:showVal val="1"/>
            </c:dLbl>
            <c:dLbl>
              <c:idx val="10"/>
              <c:layout>
                <c:manualLayout>
                  <c:x val="2.6030625953780005E-2"/>
                  <c:y val="-1.51161503568959E-2"/>
                </c:manualLayout>
              </c:layout>
              <c:showVal val="1"/>
            </c:dLbl>
            <c:showVal val="1"/>
          </c:dLbls>
          <c:cat>
            <c:strRef>
              <c:f>Arkusz1!$A$118:$A$128</c:f>
              <c:strCache>
                <c:ptCount val="11"/>
                <c:pt idx="0">
                  <c:v>Polska</c:v>
                </c:pt>
                <c:pt idx="1">
                  <c:v>woj. podlaskie</c:v>
                </c:pt>
                <c:pt idx="2">
                  <c:v>m. Białystok</c:v>
                </c:pt>
                <c:pt idx="3">
                  <c:v>m. Łomża</c:v>
                </c:pt>
                <c:pt idx="4">
                  <c:v>m. Suwałki</c:v>
                </c:pt>
                <c:pt idx="5">
                  <c:v>Powiat Ełcki</c:v>
                </c:pt>
                <c:pt idx="6">
                  <c:v>m. Ostrołęka</c:v>
                </c:pt>
                <c:pt idx="7">
                  <c:v>m. Biała Podlaska</c:v>
                </c:pt>
                <c:pt idx="8">
                  <c:v>m. Chełm</c:v>
                </c:pt>
                <c:pt idx="9">
                  <c:v>m. Zamość</c:v>
                </c:pt>
                <c:pt idx="10">
                  <c:v>m. Przemyśl</c:v>
                </c:pt>
              </c:strCache>
            </c:strRef>
          </c:cat>
          <c:val>
            <c:numRef>
              <c:f>Arkusz1!$B$118:$B$128</c:f>
              <c:numCache>
                <c:formatCode>#,##0.00</c:formatCode>
                <c:ptCount val="11"/>
                <c:pt idx="0">
                  <c:v>3744.38</c:v>
                </c:pt>
                <c:pt idx="1">
                  <c:v>3310.71</c:v>
                </c:pt>
                <c:pt idx="2">
                  <c:v>3493.98</c:v>
                </c:pt>
                <c:pt idx="3">
                  <c:v>2972.8500000000022</c:v>
                </c:pt>
                <c:pt idx="4">
                  <c:v>3029.62</c:v>
                </c:pt>
                <c:pt idx="5">
                  <c:v>2960.8700000000022</c:v>
                </c:pt>
                <c:pt idx="6">
                  <c:v>3776.11</c:v>
                </c:pt>
                <c:pt idx="7">
                  <c:v>3370.69</c:v>
                </c:pt>
                <c:pt idx="8">
                  <c:v>3099.9500000000012</c:v>
                </c:pt>
                <c:pt idx="9">
                  <c:v>3267.2799999999997</c:v>
                </c:pt>
                <c:pt idx="10">
                  <c:v>3234.16</c:v>
                </c:pt>
              </c:numCache>
            </c:numRef>
          </c:val>
        </c:ser>
        <c:shape val="box"/>
        <c:axId val="111159168"/>
        <c:axId val="111160704"/>
        <c:axId val="0"/>
      </c:bar3DChart>
      <c:catAx>
        <c:axId val="111159168"/>
        <c:scaling>
          <c:orientation val="minMax"/>
        </c:scaling>
        <c:axPos val="b"/>
        <c:tickLblPos val="nextTo"/>
        <c:crossAx val="111160704"/>
        <c:crosses val="autoZero"/>
        <c:auto val="1"/>
        <c:lblAlgn val="ctr"/>
        <c:lblOffset val="100"/>
      </c:catAx>
      <c:valAx>
        <c:axId val="111160704"/>
        <c:scaling>
          <c:orientation val="minMax"/>
        </c:scaling>
        <c:delete val="1"/>
        <c:axPos val="l"/>
        <c:numFmt formatCode="#,##0.00" sourceLinked="1"/>
        <c:tickLblPos val="none"/>
        <c:crossAx val="111159168"/>
        <c:crosses val="autoZero"/>
        <c:crossBetween val="between"/>
      </c:valAx>
    </c:plotArea>
    <c:plotVisOnly val="1"/>
    <c:dispBlanksAs val="gap"/>
  </c:chart>
  <c:externalData r:id="rId2"/>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184B94-82D3-4559-9E7E-53F006DF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13193</Words>
  <Characters>79158</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Program Rozwoju Przedsiębiorczości w Suwałkach                            na lata 2014-2020</vt:lpstr>
    </vt:vector>
  </TitlesOfParts>
  <Company>miasto suwałki</Company>
  <LinksUpToDate>false</LinksUpToDate>
  <CharactersWithSpaces>92167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Rozwoju Przedsiębiorczości w Suwałkach                            na lata 2014-2020</dc:title>
  <dc:subject/>
  <dc:creator>Urząd Miejski w Suwałkach                                                                                                                              Wydział Rozwoju i Funduszy Zewnętrznych</dc:creator>
  <cp:lastModifiedBy>Marcin Rafał Bonisławski</cp:lastModifiedBy>
  <cp:revision>2</cp:revision>
  <cp:lastPrinted>2014-05-20T11:58:00Z</cp:lastPrinted>
  <dcterms:created xsi:type="dcterms:W3CDTF">2014-06-17T07:09:00Z</dcterms:created>
  <dcterms:modified xsi:type="dcterms:W3CDTF">2014-06-17T07:09:00Z</dcterms:modified>
</cp:coreProperties>
</file>